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附件</w:t>
      </w:r>
    </w:p>
    <w:p>
      <w:pPr>
        <w:jc w:val="left"/>
        <w:rPr>
          <w:rFonts w:hint="eastAsia" w:ascii="方正小标宋简体" w:hAnsi="方正小标宋简体" w:eastAsia="方正小标宋简体" w:cs="方正小标宋简体"/>
          <w:sz w:val="18"/>
          <w:szCs w:val="18"/>
          <w:lang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内蒙古自治区农牧厅</w:t>
      </w:r>
      <w:r>
        <w:rPr>
          <w:rFonts w:hint="eastAsia" w:ascii="方正小标宋简体" w:hAnsi="方正小标宋简体" w:eastAsia="方正小标宋简体" w:cs="方正小标宋简体"/>
          <w:sz w:val="44"/>
          <w:szCs w:val="44"/>
          <w:lang w:val="en-US" w:eastAsia="zh-CN"/>
        </w:rPr>
        <w:t>2024年政府信息公开工作年度报告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《中华人民共和国政府信息公开条例》（国务院令第</w:t>
      </w:r>
      <w:r>
        <w:rPr>
          <w:rFonts w:hint="eastAsia" w:ascii="仿宋_GB2312" w:hAnsi="仿宋_GB2312" w:eastAsia="仿宋_GB2312" w:cs="仿宋_GB2312"/>
          <w:sz w:val="32"/>
          <w:szCs w:val="32"/>
          <w:lang w:val="en-US" w:eastAsia="zh-CN"/>
        </w:rPr>
        <w:t>711号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《国务院办公厅政府信息与政务公开办公室关于印发〈中华人民共和国政府信息公开工</w:t>
      </w:r>
      <w:bookmarkStart w:id="0" w:name="_GoBack"/>
      <w:bookmarkEnd w:id="0"/>
      <w:r>
        <w:rPr>
          <w:rFonts w:hint="eastAsia" w:ascii="仿宋_GB2312" w:hAnsi="仿宋_GB2312" w:eastAsia="仿宋_GB2312" w:cs="仿宋_GB2312"/>
          <w:sz w:val="32"/>
          <w:szCs w:val="32"/>
        </w:rPr>
        <w:t>作年度报告格式〉的通知》（国办公开办函〔2021〕30号）要求，我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编制了202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年度政府信息公开工作年度报告。本年度报告中所列数据统计期限自202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年12月31日止。本年度报告电子版可以从内蒙古自治区</w:t>
      </w:r>
      <w:r>
        <w:rPr>
          <w:rFonts w:hint="eastAsia" w:ascii="仿宋_GB2312" w:hAnsi="仿宋_GB2312" w:eastAsia="仿宋_GB2312" w:cs="仿宋_GB2312"/>
          <w:sz w:val="32"/>
          <w:szCs w:val="32"/>
          <w:lang w:eastAsia="zh-CN"/>
        </w:rPr>
        <w:t>农牧厅</w:t>
      </w:r>
      <w:r>
        <w:rPr>
          <w:rFonts w:hint="eastAsia" w:ascii="仿宋_GB2312" w:hAnsi="仿宋_GB2312" w:eastAsia="仿宋_GB2312" w:cs="仿宋_GB2312"/>
          <w:sz w:val="32"/>
          <w:szCs w:val="32"/>
        </w:rPr>
        <w:t>门户网站（https://nmt.nmg.gov.cn）下载。如对本年度报告有任何疑问，请联系内蒙古自治区</w:t>
      </w:r>
      <w:r>
        <w:rPr>
          <w:rFonts w:hint="eastAsia" w:ascii="仿宋_GB2312" w:hAnsi="仿宋_GB2312" w:eastAsia="仿宋_GB2312" w:cs="仿宋_GB2312"/>
          <w:sz w:val="32"/>
          <w:szCs w:val="32"/>
          <w:lang w:eastAsia="zh-CN"/>
        </w:rPr>
        <w:t>农牧厅</w:t>
      </w:r>
      <w:r>
        <w:rPr>
          <w:rFonts w:hint="eastAsia" w:ascii="仿宋_GB2312" w:hAnsi="仿宋_GB2312" w:eastAsia="仿宋_GB2312" w:cs="仿宋_GB2312"/>
          <w:sz w:val="32"/>
          <w:szCs w:val="32"/>
        </w:rPr>
        <w:t>，联系电话：0471—665</w:t>
      </w:r>
      <w:r>
        <w:rPr>
          <w:rFonts w:hint="eastAsia" w:ascii="仿宋_GB2312" w:hAnsi="仿宋_GB2312" w:eastAsia="仿宋_GB2312" w:cs="仿宋_GB2312"/>
          <w:sz w:val="32"/>
          <w:szCs w:val="32"/>
          <w:lang w:val="en-US" w:eastAsia="zh-CN"/>
        </w:rPr>
        <w:t>2197</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b w:val="0"/>
          <w:bCs w:val="0"/>
          <w:sz w:val="32"/>
          <w:szCs w:val="32"/>
          <w:lang w:val="en-US" w:eastAsia="zh-CN"/>
        </w:rPr>
        <w:t>自治区农牧厅</w:t>
      </w:r>
      <w:r>
        <w:rPr>
          <w:rFonts w:hint="eastAsia" w:ascii="仿宋_GB2312" w:hAnsi="仿宋_GB2312" w:eastAsia="仿宋_GB2312" w:cs="仿宋_GB2312"/>
          <w:sz w:val="32"/>
          <w:szCs w:val="32"/>
        </w:rPr>
        <w:t>坚持以习近平新时代中国特色社会主义思想为指导，认真贯彻中央和自治区各项政府信息公开工作决策部署，积极推进内蒙古建设，全面贯彻《中华人民共和国政府信息公开条例》和自治区2024年政务公开工作要点，不断提升政务公开质量，提高政府工作透明度和政务公开服务水平。</w:t>
      </w:r>
    </w:p>
    <w:p>
      <w:pPr>
        <w:ind w:firstLine="643" w:firstLineChars="200"/>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sz w:val="32"/>
          <w:szCs w:val="32"/>
          <w:lang w:val="en-US" w:eastAsia="zh-CN"/>
        </w:rPr>
        <w:t>（一）主动公开。</w:t>
      </w:r>
      <w:r>
        <w:rPr>
          <w:rFonts w:hint="eastAsia" w:ascii="仿宋_GB2312" w:hAnsi="仿宋_GB2312" w:eastAsia="仿宋_GB2312" w:cs="仿宋_GB2312"/>
          <w:b w:val="0"/>
          <w:bCs w:val="0"/>
          <w:sz w:val="32"/>
          <w:szCs w:val="32"/>
          <w:lang w:val="en-US" w:eastAsia="zh-CN"/>
        </w:rPr>
        <w:t>继续发挥自治区农牧厅门户网站“政务公开”专栏发布法定主动公开内容的平台作用，自治区农牧厅门户网站全年发布信息8785条，其中</w:t>
      </w:r>
      <w:r>
        <w:rPr>
          <w:rFonts w:hint="eastAsia" w:ascii="仿宋_GB2312" w:hAnsi="仿宋_GB2312" w:eastAsia="仿宋_GB2312" w:cs="仿宋_GB2312"/>
          <w:b w:val="0"/>
          <w:bCs w:val="0"/>
          <w:color w:val="auto"/>
          <w:sz w:val="32"/>
          <w:szCs w:val="32"/>
          <w:lang w:val="en-US" w:eastAsia="zh-CN"/>
        </w:rPr>
        <w:t>“政务公开”专栏累计公开法定主动公开内容967条。通过“内蒙古农牧厅”微信公众号公开领导活动重要会议、政策解读、典型案例等信息1865条。主动办理回复群众来信留言、回应社会热点问题，回复“厅长信箱”14</w:t>
      </w:r>
      <w:r>
        <w:rPr>
          <w:rFonts w:hint="eastAsia" w:ascii="仿宋_GB2312" w:hAnsi="仿宋_GB2312" w:eastAsia="仿宋_GB2312" w:cs="仿宋_GB2312"/>
          <w:b w:val="0"/>
          <w:bCs w:val="0"/>
          <w:sz w:val="32"/>
          <w:szCs w:val="32"/>
          <w:lang w:val="en-US" w:eastAsia="zh-CN"/>
        </w:rPr>
        <w:t>条</w:t>
      </w:r>
      <w:r>
        <w:rPr>
          <w:rFonts w:hint="eastAsia" w:ascii="仿宋_GB2312" w:hAnsi="仿宋_GB2312" w:eastAsia="仿宋_GB2312" w:cs="仿宋_GB2312"/>
          <w:b w:val="0"/>
          <w:bCs w:val="0"/>
          <w:color w:val="auto"/>
          <w:sz w:val="32"/>
          <w:szCs w:val="32"/>
          <w:lang w:val="en-US" w:eastAsia="zh-CN"/>
        </w:rPr>
        <w:t>、“在线咨询”27</w:t>
      </w:r>
      <w:r>
        <w:rPr>
          <w:rFonts w:hint="eastAsia" w:ascii="仿宋_GB2312" w:hAnsi="仿宋_GB2312" w:eastAsia="仿宋_GB2312" w:cs="仿宋_GB2312"/>
          <w:b w:val="0"/>
          <w:bCs w:val="0"/>
          <w:sz w:val="32"/>
          <w:szCs w:val="32"/>
          <w:lang w:val="en-US" w:eastAsia="zh-CN"/>
        </w:rPr>
        <w:t>条，发布意见征集调查30期，在线访谈2期，更新政策问答库10条。开设农机购置补贴政策、种子质量投诉、24小时动物疫情应急值班、</w:t>
      </w:r>
      <w:r>
        <w:rPr>
          <w:rFonts w:hint="eastAsia" w:ascii="仿宋_GB2312" w:hAnsi="仿宋_GB2312" w:eastAsia="仿宋_GB2312" w:cs="仿宋_GB2312"/>
          <w:b w:val="0"/>
          <w:bCs w:val="0"/>
          <w:i w:val="0"/>
          <w:iCs w:val="0"/>
          <w:caps w:val="0"/>
          <w:color w:val="333333"/>
          <w:spacing w:val="0"/>
          <w:sz w:val="32"/>
          <w:szCs w:val="32"/>
          <w:shd w:val="clear" w:fill="FFFFFF"/>
        </w:rPr>
        <w:t>高标准农田建设工程质量问题监督</w:t>
      </w:r>
      <w:r>
        <w:rPr>
          <w:rFonts w:hint="eastAsia" w:ascii="仿宋_GB2312" w:hAnsi="仿宋_GB2312" w:eastAsia="仿宋_GB2312" w:cs="仿宋_GB2312"/>
          <w:b w:val="0"/>
          <w:bCs w:val="0"/>
          <w:sz w:val="32"/>
          <w:szCs w:val="32"/>
          <w:lang w:val="en-US" w:eastAsia="zh-CN"/>
        </w:rPr>
        <w:t>等热线10条。2024年自治区农牧厅门户网站总访问量达到了1517万人次。</w:t>
      </w:r>
    </w:p>
    <w:p>
      <w:p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sz w:val="32"/>
          <w:szCs w:val="32"/>
          <w:lang w:val="en-US" w:eastAsia="zh-CN"/>
        </w:rPr>
        <w:t>（二）依申请公开。</w:t>
      </w:r>
      <w:r>
        <w:rPr>
          <w:rFonts w:hint="eastAsia" w:ascii="仿宋_GB2312" w:hAnsi="仿宋_GB2312" w:eastAsia="仿宋_GB2312" w:cs="仿宋_GB2312"/>
          <w:b w:val="0"/>
          <w:bCs w:val="0"/>
          <w:color w:val="auto"/>
          <w:sz w:val="32"/>
          <w:szCs w:val="32"/>
          <w:lang w:val="en-US" w:eastAsia="zh-CN"/>
        </w:rPr>
        <w:t>“自治区政府信</w:t>
      </w:r>
      <w:r>
        <w:rPr>
          <w:rFonts w:hint="eastAsia" w:ascii="仿宋_GB2312" w:hAnsi="仿宋_GB2312" w:eastAsia="仿宋_GB2312" w:cs="仿宋_GB2312"/>
          <w:b w:val="0"/>
          <w:bCs w:val="0"/>
          <w:sz w:val="32"/>
          <w:szCs w:val="32"/>
          <w:lang w:val="en-US" w:eastAsia="zh-CN"/>
        </w:rPr>
        <w:t>息依申请公开系统”进行升级接入以来，“一网通办”能力进一步提升。自治区农牧厅进一步完善依申请公开答复工作流程，及时查收群众、企业政府信息公开申请，2024年共收到政府信息</w:t>
      </w:r>
      <w:r>
        <w:rPr>
          <w:rFonts w:hint="eastAsia" w:ascii="仿宋_GB2312" w:hAnsi="仿宋_GB2312" w:eastAsia="仿宋_GB2312" w:cs="仿宋_GB2312"/>
          <w:b w:val="0"/>
          <w:bCs w:val="0"/>
          <w:color w:val="auto"/>
          <w:sz w:val="32"/>
          <w:szCs w:val="32"/>
          <w:lang w:val="en-US" w:eastAsia="zh-CN"/>
        </w:rPr>
        <w:t>公开申请26件，已办结24件，其余2件由于接收日期是12月30日，所以结转到2025年开展，目前也已办结。全年无产生收费、无举报政府信息公开等情形。</w:t>
      </w:r>
    </w:p>
    <w:p>
      <w:pPr>
        <w:ind w:firstLine="643" w:firstLineChars="200"/>
        <w:rPr>
          <w:rFonts w:hint="default" w:ascii="楷体_GB2312" w:hAnsi="楷体_GB2312" w:eastAsia="仿宋_GB2312" w:cs="楷体_GB2312"/>
          <w:b/>
          <w:bCs/>
          <w:sz w:val="32"/>
          <w:szCs w:val="32"/>
          <w:lang w:val="en-US" w:eastAsia="zh-CN"/>
        </w:rPr>
      </w:pPr>
      <w:r>
        <w:rPr>
          <w:rFonts w:hint="eastAsia" w:ascii="楷体_GB2312" w:hAnsi="楷体_GB2312" w:eastAsia="楷体_GB2312" w:cs="楷体_GB2312"/>
          <w:b/>
          <w:bCs/>
          <w:sz w:val="32"/>
          <w:szCs w:val="32"/>
          <w:lang w:val="en-US" w:eastAsia="zh-CN"/>
        </w:rPr>
        <w:t>（三）政府信息管理。</w:t>
      </w:r>
      <w:r>
        <w:rPr>
          <w:rFonts w:hint="eastAsia" w:ascii="仿宋_GB2312" w:hAnsi="仿宋_GB2312" w:eastAsia="仿宋_GB2312" w:cs="仿宋_GB2312"/>
          <w:b w:val="0"/>
          <w:bCs w:val="0"/>
          <w:sz w:val="32"/>
          <w:szCs w:val="32"/>
          <w:lang w:val="en-US" w:eastAsia="zh-CN"/>
        </w:rPr>
        <w:t>自治区农牧厅</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《内蒙古自治区人民政府关于公布继续有效、废止和宣布失效行政规范性文件的通知》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内政发〔2023〕27号</w:t>
      </w:r>
      <w:r>
        <w:rPr>
          <w:rFonts w:hint="eastAsia" w:ascii="仿宋_GB2312" w:hAnsi="仿宋_GB2312" w:eastAsia="仿宋_GB2312" w:cs="仿宋_GB2312"/>
          <w:sz w:val="32"/>
          <w:szCs w:val="32"/>
          <w:lang w:eastAsia="zh-CN"/>
        </w:rPr>
        <w:t>），发布了《</w:t>
      </w:r>
      <w:r>
        <w:rPr>
          <w:rFonts w:hint="eastAsia" w:ascii="仿宋_GB2312" w:hAnsi="仿宋_GB2312" w:eastAsia="仿宋_GB2312" w:cs="仿宋_GB2312"/>
          <w:sz w:val="32"/>
          <w:szCs w:val="32"/>
        </w:rPr>
        <w:t>内蒙古自治区农牧厅关于2023年规范性文件清理结果的公告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公告〔2024〕2号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及时对2021年全面清理后列入继续有效目录和修订后重新公布目录</w:t>
      </w:r>
      <w:r>
        <w:rPr>
          <w:rFonts w:hint="eastAsia" w:ascii="仿宋_GB2312" w:hAnsi="仿宋_GB2312" w:eastAsia="仿宋_GB2312" w:cs="仿宋_GB2312"/>
          <w:sz w:val="32"/>
          <w:szCs w:val="32"/>
          <w:lang w:eastAsia="zh-CN"/>
        </w:rPr>
        <w:t>等规章、行政规范性文件内容进行了动态更新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b w:val="0"/>
          <w:bCs w:val="0"/>
          <w:sz w:val="32"/>
          <w:szCs w:val="32"/>
          <w:lang w:val="en-US" w:eastAsia="zh-CN"/>
        </w:rPr>
        <w:t>自治区农牧厅</w:t>
      </w:r>
      <w:r>
        <w:rPr>
          <w:rFonts w:hint="eastAsia" w:ascii="仿宋_GB2312" w:hAnsi="仿宋_GB2312" w:eastAsia="仿宋_GB2312" w:cs="仿宋_GB2312"/>
          <w:sz w:val="32"/>
          <w:szCs w:val="32"/>
          <w:lang w:val="en-US" w:eastAsia="zh-CN"/>
        </w:rPr>
        <w:t>集中公开现行有效政府规章1部，规范性文件本年制发5件，现行公开有效规范性文件47件，本年废止1件、失效1件。</w:t>
      </w:r>
    </w:p>
    <w:p>
      <w:pPr>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（四）政府信息公开平台建设。</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sz w:val="32"/>
          <w:szCs w:val="32"/>
        </w:rPr>
        <w:t>国务院办公厅政府信息与政务公开办公室关于规范政府信息公开平台有关事项的通知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国办公开办函〔2019〕61号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国务院办公厅政府信息与政务公开办公室关于做好规章集中公开并动态更新工作的通知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国办公开办函〔2021〕33号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自治区农牧厅</w:t>
      </w:r>
      <w:r>
        <w:rPr>
          <w:rFonts w:hint="eastAsia" w:ascii="仿宋_GB2312" w:hAnsi="仿宋_GB2312" w:eastAsia="仿宋_GB2312" w:cs="仿宋_GB2312"/>
          <w:sz w:val="32"/>
          <w:szCs w:val="32"/>
          <w:lang w:val="en-US" w:eastAsia="zh-CN"/>
        </w:rPr>
        <w:t>继续改进升级集约化平台的信息发布、办事服务、互动交流、解读回应等功能，将“部门文件”和“公示公告”栏目合并为“通知公告”，“扩种大豆油料”和“优质高效增粮”栏目合并为“单产提升”，共合并2个栏目，新增“党纪学习教育”1个栏目。</w:t>
      </w:r>
      <w:r>
        <w:rPr>
          <w:rFonts w:hint="eastAsia" w:ascii="仿宋_GB2312" w:hAnsi="仿宋_GB2312" w:eastAsia="仿宋_GB2312" w:cs="仿宋_GB2312"/>
          <w:color w:val="auto"/>
          <w:sz w:val="32"/>
          <w:szCs w:val="32"/>
          <w:lang w:val="en-US" w:eastAsia="zh-CN"/>
        </w:rPr>
        <w:t>微信公众平台刊发1865篇信息，</w:t>
      </w:r>
      <w:r>
        <w:rPr>
          <w:rFonts w:hint="eastAsia" w:ascii="仿宋_GB2312" w:hAnsi="仿宋_GB2312" w:eastAsia="仿宋_GB2312" w:cs="仿宋_GB2312"/>
          <w:b w:val="0"/>
          <w:bCs w:val="0"/>
          <w:color w:val="auto"/>
          <w:sz w:val="32"/>
          <w:szCs w:val="32"/>
          <w:lang w:val="en-US" w:eastAsia="zh-CN"/>
        </w:rPr>
        <w:t>累计订阅关注人数达4.15万，服务人数达80万</w:t>
      </w:r>
      <w:r>
        <w:rPr>
          <w:rFonts w:hint="eastAsia" w:ascii="仿宋_GB2312" w:hAnsi="仿宋_GB2312" w:eastAsia="仿宋_GB2312" w:cs="仿宋_GB2312"/>
          <w:color w:val="auto"/>
          <w:sz w:val="32"/>
          <w:szCs w:val="32"/>
          <w:lang w:val="en-US" w:eastAsia="zh-CN"/>
        </w:rPr>
        <w:t>。</w:t>
      </w:r>
    </w:p>
    <w:p>
      <w:pPr>
        <w:ind w:firstLine="643" w:firstLineChars="200"/>
        <w:rPr>
          <w:rFonts w:hint="eastAsia" w:ascii="黑体" w:hAnsi="黑体" w:eastAsia="黑体" w:cs="黑体"/>
          <w:b w:val="0"/>
          <w:bCs w:val="0"/>
          <w:i w:val="0"/>
          <w:iCs w:val="0"/>
          <w:caps w:val="0"/>
          <w:color w:val="333333"/>
          <w:spacing w:val="0"/>
          <w:sz w:val="32"/>
          <w:szCs w:val="32"/>
          <w:shd w:val="clear" w:fill="FFFFFF"/>
        </w:rPr>
      </w:pPr>
      <w:r>
        <w:rPr>
          <w:rFonts w:hint="eastAsia" w:ascii="楷体_GB2312" w:hAnsi="楷体_GB2312" w:eastAsia="楷体_GB2312" w:cs="楷体_GB2312"/>
          <w:b/>
          <w:bCs/>
          <w:sz w:val="32"/>
          <w:szCs w:val="32"/>
          <w:lang w:val="en-US" w:eastAsia="zh-CN"/>
        </w:rPr>
        <w:t>（五）监督保障。</w:t>
      </w:r>
      <w:r>
        <w:rPr>
          <w:rFonts w:hint="eastAsia" w:ascii="仿宋_GB2312" w:hAnsi="仿宋_GB2312" w:eastAsia="仿宋_GB2312" w:cs="仿宋_GB2312"/>
          <w:b w:val="0"/>
          <w:bCs w:val="0"/>
          <w:sz w:val="32"/>
          <w:szCs w:val="32"/>
          <w:lang w:val="en-US" w:eastAsia="zh-CN"/>
        </w:rPr>
        <w:t>2024年自治区农牧厅对门户网站信息更新、网站安全防范等有序开展自查，进一步强化监督保障，全年共进行安全巡检</w:t>
      </w:r>
      <w:r>
        <w:rPr>
          <w:rFonts w:hint="eastAsia" w:ascii="仿宋_GB2312" w:hAnsi="仿宋_GB2312" w:eastAsia="仿宋_GB2312" w:cs="仿宋_GB2312"/>
          <w:b w:val="0"/>
          <w:bCs w:val="0"/>
          <w:color w:val="auto"/>
          <w:sz w:val="32"/>
          <w:szCs w:val="32"/>
          <w:lang w:val="en-US" w:eastAsia="zh-CN"/>
        </w:rPr>
        <w:t>3次</w:t>
      </w:r>
      <w:r>
        <w:rPr>
          <w:rFonts w:hint="eastAsia" w:ascii="仿宋_GB2312" w:hAnsi="仿宋_GB2312" w:eastAsia="仿宋_GB2312" w:cs="仿宋_GB2312"/>
          <w:b w:val="0"/>
          <w:bCs w:val="0"/>
          <w:sz w:val="32"/>
          <w:szCs w:val="32"/>
          <w:lang w:val="en-US" w:eastAsia="zh-CN"/>
        </w:rPr>
        <w:t>，安全监测评估2次，发布门户网站信息通报4期，组织公开</w:t>
      </w:r>
      <w:r>
        <w:rPr>
          <w:rFonts w:hint="eastAsia" w:ascii="仿宋_GB2312" w:hAnsi="仿宋_GB2312" w:eastAsia="仿宋_GB2312" w:cs="仿宋_GB2312"/>
          <w:b w:val="0"/>
          <w:bCs w:val="0"/>
          <w:color w:val="auto"/>
          <w:sz w:val="32"/>
          <w:szCs w:val="32"/>
          <w:lang w:val="en-US" w:eastAsia="zh-CN"/>
        </w:rPr>
        <w:t>培训1次</w:t>
      </w:r>
      <w:r>
        <w:rPr>
          <w:rFonts w:hint="eastAsia" w:ascii="仿宋_GB2312" w:hAnsi="仿宋_GB2312" w:eastAsia="仿宋_GB2312" w:cs="仿宋_GB2312"/>
          <w:b w:val="0"/>
          <w:bCs w:val="0"/>
          <w:sz w:val="32"/>
          <w:szCs w:val="32"/>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二、主动公开政府信息情况</w:t>
      </w:r>
    </w:p>
    <w:tbl>
      <w:tblPr>
        <w:tblStyle w:val="4"/>
        <w:tblW w:w="9549" w:type="dxa"/>
        <w:jc w:val="center"/>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62"/>
        <w:gridCol w:w="2236"/>
        <w:gridCol w:w="2236"/>
        <w:gridCol w:w="2515"/>
      </w:tblGrid>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jc w:val="center"/>
        </w:trPr>
        <w:tc>
          <w:tcPr>
            <w:tcW w:w="9549"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第二十条第（一）项</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2562"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信息内容</w:t>
            </w:r>
          </w:p>
        </w:tc>
        <w:tc>
          <w:tcPr>
            <w:tcW w:w="2236"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本年制发件数</w:t>
            </w:r>
          </w:p>
        </w:tc>
        <w:tc>
          <w:tcPr>
            <w:tcW w:w="2236"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本年废止件数</w:t>
            </w:r>
          </w:p>
        </w:tc>
        <w:tc>
          <w:tcPr>
            <w:tcW w:w="251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现行有效件数</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jc w:val="center"/>
        </w:trPr>
        <w:tc>
          <w:tcPr>
            <w:tcW w:w="2562"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规章</w:t>
            </w:r>
          </w:p>
        </w:tc>
        <w:tc>
          <w:tcPr>
            <w:tcW w:w="2236"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0</w:t>
            </w:r>
          </w:p>
        </w:tc>
        <w:tc>
          <w:tcPr>
            <w:tcW w:w="2236"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0</w:t>
            </w:r>
          </w:p>
        </w:tc>
        <w:tc>
          <w:tcPr>
            <w:tcW w:w="251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jc w:val="center"/>
        </w:trPr>
        <w:tc>
          <w:tcPr>
            <w:tcW w:w="2562"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行政规范性文件</w:t>
            </w:r>
          </w:p>
        </w:tc>
        <w:tc>
          <w:tcPr>
            <w:tcW w:w="2236"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5</w:t>
            </w:r>
          </w:p>
        </w:tc>
        <w:tc>
          <w:tcPr>
            <w:tcW w:w="2236"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2</w:t>
            </w:r>
          </w:p>
        </w:tc>
        <w:tc>
          <w:tcPr>
            <w:tcW w:w="251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default"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47</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jc w:val="center"/>
        </w:trPr>
        <w:tc>
          <w:tcPr>
            <w:tcW w:w="9549"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第二十条第（五）项</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2562"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信息内容</w:t>
            </w:r>
          </w:p>
        </w:tc>
        <w:tc>
          <w:tcPr>
            <w:tcW w:w="6987"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本年处理决定数量</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2562"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行政许可</w:t>
            </w:r>
          </w:p>
        </w:tc>
        <w:tc>
          <w:tcPr>
            <w:tcW w:w="6987"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default"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649</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jc w:val="center"/>
        </w:trPr>
        <w:tc>
          <w:tcPr>
            <w:tcW w:w="9549"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第二十条第（六）项</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jc w:val="center"/>
        </w:trPr>
        <w:tc>
          <w:tcPr>
            <w:tcW w:w="2562"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信息内容</w:t>
            </w:r>
          </w:p>
        </w:tc>
        <w:tc>
          <w:tcPr>
            <w:tcW w:w="6987"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本年处理决定数量</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jc w:val="center"/>
        </w:trPr>
        <w:tc>
          <w:tcPr>
            <w:tcW w:w="2562"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行政处罚</w:t>
            </w:r>
          </w:p>
        </w:tc>
        <w:tc>
          <w:tcPr>
            <w:tcW w:w="6987"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jc w:val="center"/>
        </w:trPr>
        <w:tc>
          <w:tcPr>
            <w:tcW w:w="2562"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行政强制</w:t>
            </w:r>
          </w:p>
        </w:tc>
        <w:tc>
          <w:tcPr>
            <w:tcW w:w="6987"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jc w:val="center"/>
        </w:trPr>
        <w:tc>
          <w:tcPr>
            <w:tcW w:w="9549"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第二十条第（八）项</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2562"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信息内容</w:t>
            </w:r>
          </w:p>
        </w:tc>
        <w:tc>
          <w:tcPr>
            <w:tcW w:w="6987" w:type="dxa"/>
            <w:gridSpan w:val="3"/>
            <w:tcBorders>
              <w:top w:val="single" w:color="auto" w:sz="6" w:space="0"/>
              <w:left w:val="single" w:color="auto" w:sz="6" w:space="0"/>
              <w:bottom w:val="single" w:color="auto" w:sz="6" w:space="0"/>
              <w:right w:val="single" w:color="000000"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本年收费金额（单位：万元）</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31" w:hRule="atLeast"/>
          <w:jc w:val="center"/>
        </w:trPr>
        <w:tc>
          <w:tcPr>
            <w:tcW w:w="2562"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行政事业性收费</w:t>
            </w:r>
          </w:p>
        </w:tc>
        <w:tc>
          <w:tcPr>
            <w:tcW w:w="6987" w:type="dxa"/>
            <w:gridSpan w:val="3"/>
            <w:tcBorders>
              <w:top w:val="single" w:color="auto" w:sz="6" w:space="0"/>
              <w:left w:val="single" w:color="auto" w:sz="6" w:space="0"/>
              <w:bottom w:val="single" w:color="auto" w:sz="6" w:space="0"/>
              <w:right w:val="single" w:color="000000"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宋体" w:hAnsi="宋体"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32"/>
          <w:szCs w:val="32"/>
          <w:shd w:val="clear" w:fill="FFFFFF"/>
        </w:rPr>
        <w:t>三、收到和处理政府信息公开申请情况</w:t>
      </w:r>
    </w:p>
    <w:tbl>
      <w:tblPr>
        <w:tblStyle w:val="4"/>
        <w:tblW w:w="9619" w:type="dxa"/>
        <w:jc w:val="center"/>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6"/>
        <w:gridCol w:w="906"/>
        <w:gridCol w:w="3217"/>
        <w:gridCol w:w="679"/>
        <w:gridCol w:w="679"/>
        <w:gridCol w:w="679"/>
        <w:gridCol w:w="679"/>
        <w:gridCol w:w="679"/>
        <w:gridCol w:w="684"/>
        <w:gridCol w:w="681"/>
      </w:tblGrid>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4859"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（本列数据的勾稽关系为：第一项加第二项之和，等于第三项加第四项之和）</w:t>
            </w:r>
          </w:p>
        </w:tc>
        <w:tc>
          <w:tcPr>
            <w:tcW w:w="4760" w:type="dxa"/>
            <w:gridSpan w:val="7"/>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申请人情况</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485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微软雅黑" w:hAnsi="微软雅黑" w:eastAsia="微软雅黑" w:cs="微软雅黑"/>
                <w:i w:val="0"/>
                <w:iCs w:val="0"/>
                <w:color w:val="333333"/>
                <w:sz w:val="21"/>
                <w:szCs w:val="21"/>
              </w:rPr>
            </w:pPr>
          </w:p>
        </w:tc>
        <w:tc>
          <w:tcPr>
            <w:tcW w:w="679"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自然人</w:t>
            </w:r>
          </w:p>
        </w:tc>
        <w:tc>
          <w:tcPr>
            <w:tcW w:w="3400" w:type="dxa"/>
            <w:gridSpan w:val="5"/>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法人或其他组织</w:t>
            </w:r>
          </w:p>
        </w:tc>
        <w:tc>
          <w:tcPr>
            <w:tcW w:w="681"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总计</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485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微软雅黑" w:hAnsi="微软雅黑" w:eastAsia="微软雅黑" w:cs="微软雅黑"/>
                <w:i w:val="0"/>
                <w:iCs w:val="0"/>
                <w:color w:val="333333"/>
                <w:sz w:val="21"/>
                <w:szCs w:val="21"/>
              </w:rPr>
            </w:pPr>
          </w:p>
        </w:tc>
        <w:tc>
          <w:tcPr>
            <w:tcW w:w="679"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企业</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机构</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社会公益组织</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法律服务机构</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其他</w:t>
            </w:r>
          </w:p>
        </w:tc>
        <w:tc>
          <w:tcPr>
            <w:tcW w:w="681"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4859"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一、本年新收政府信息公开申请数量</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default"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25</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default"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26</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4859"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二、上年结转政府信息公开申请数量</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三、本年度办理结果</w:t>
            </w:r>
          </w:p>
        </w:tc>
        <w:tc>
          <w:tcPr>
            <w:tcW w:w="4123" w:type="dxa"/>
            <w:gridSpan w:val="2"/>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（一）予以公开</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9</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default"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112"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4123" w:type="dxa"/>
            <w:gridSpan w:val="2"/>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（二）部分公开（区分处理的，只计这一情形，不计其他情形）</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（三）不予公开</w:t>
            </w: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1.属于国家秘密</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4</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4</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2.其他法律行政法规禁止公开</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3.危及“三安全一稳定”</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3</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3</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4.保护第三方合法权益</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5.属于三类内部事务信息</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6.属于四类过程性信息</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7.属于行政执法案卷</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17"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8.属于行政查询事项</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（四）无法提供</w:t>
            </w: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1.本机关不掌握相关政府信息</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4</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4</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2.没有现成信息需要另行制作</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3.补正后申请内容仍不明确</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（五）不予处理</w:t>
            </w: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1.信访举报投诉类申请</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72"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2.重复申请</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3.要求提供公开出版物</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4.无正当理由大量反复申请</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112"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5.要求行政机关确认或重新出具已获取信息</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47"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（六）其他处理</w:t>
            </w: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1.申请人无正当理由逾期不补正、行政机关不再处理其政府信息公开申请</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245"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2.申请人逾期未按收费通知要求缴纳费用、行政机关不再处理其政府信息公开申请</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3217"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3.其他</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25" w:hRule="atLeast"/>
          <w:jc w:val="center"/>
        </w:trPr>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eastAsia" w:ascii="微软雅黑" w:hAnsi="微软雅黑" w:eastAsia="微软雅黑" w:cs="微软雅黑"/>
                <w:i w:val="0"/>
                <w:iCs w:val="0"/>
                <w:color w:val="333333"/>
                <w:sz w:val="21"/>
                <w:szCs w:val="21"/>
              </w:rPr>
            </w:pPr>
          </w:p>
        </w:tc>
        <w:tc>
          <w:tcPr>
            <w:tcW w:w="4123" w:type="dxa"/>
            <w:gridSpan w:val="2"/>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（七）总计</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default"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23</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1</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default"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24</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76" w:hRule="atLeast"/>
          <w:jc w:val="center"/>
        </w:trPr>
        <w:tc>
          <w:tcPr>
            <w:tcW w:w="4859"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olor w:val="333333"/>
                <w:sz w:val="21"/>
                <w:szCs w:val="21"/>
              </w:rPr>
              <w:t>四、结转下年度继续办理</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2</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4"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rPr>
            </w:pPr>
            <w:r>
              <w:rPr>
                <w:rFonts w:hint="eastAsia" w:ascii="微软雅黑" w:hAnsi="微软雅黑" w:eastAsia="微软雅黑" w:cs="微软雅黑"/>
                <w:i w:val="0"/>
                <w:iCs w:val="0"/>
                <w:color w:val="333333"/>
                <w:sz w:val="21"/>
                <w:szCs w:val="21"/>
                <w:lang w:val="en-US" w:eastAsia="zh-CN"/>
              </w:rPr>
              <w:t>0</w:t>
            </w:r>
          </w:p>
        </w:tc>
        <w:tc>
          <w:tcPr>
            <w:tcW w:w="68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color w:val="333333"/>
                <w:sz w:val="21"/>
                <w:szCs w:val="21"/>
                <w:lang w:val="en-US" w:eastAsia="zh-CN"/>
              </w:rPr>
            </w:pPr>
            <w:r>
              <w:rPr>
                <w:rFonts w:hint="eastAsia" w:ascii="微软雅黑" w:hAnsi="微软雅黑" w:eastAsia="微软雅黑" w:cs="微软雅黑"/>
                <w:i w:val="0"/>
                <w:iCs w:val="0"/>
                <w:color w:val="333333"/>
                <w:sz w:val="21"/>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四、政府信息公开行政复议、行政诉讼情况</w:t>
      </w:r>
    </w:p>
    <w:tbl>
      <w:tblPr>
        <w:tblStyle w:val="4"/>
        <w:tblW w:w="9619" w:type="dxa"/>
        <w:jc w:val="center"/>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9"/>
        <w:gridCol w:w="639"/>
        <w:gridCol w:w="639"/>
        <w:gridCol w:w="639"/>
        <w:gridCol w:w="650"/>
        <w:gridCol w:w="639"/>
        <w:gridCol w:w="639"/>
        <w:gridCol w:w="639"/>
        <w:gridCol w:w="639"/>
        <w:gridCol w:w="650"/>
        <w:gridCol w:w="639"/>
        <w:gridCol w:w="639"/>
        <w:gridCol w:w="639"/>
        <w:gridCol w:w="639"/>
        <w:gridCol w:w="651"/>
      </w:tblGrid>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36" w:hRule="atLeast"/>
          <w:jc w:val="center"/>
        </w:trPr>
        <w:tc>
          <w:tcPr>
            <w:tcW w:w="3206"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行政复议</w:t>
            </w:r>
          </w:p>
        </w:tc>
        <w:tc>
          <w:tcPr>
            <w:tcW w:w="6413" w:type="dxa"/>
            <w:gridSpan w:val="10"/>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行政诉讼</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63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结果维持</w:t>
            </w:r>
          </w:p>
        </w:tc>
        <w:tc>
          <w:tcPr>
            <w:tcW w:w="63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结果</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纠正</w:t>
            </w:r>
          </w:p>
        </w:tc>
        <w:tc>
          <w:tcPr>
            <w:tcW w:w="63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其他</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结果</w:t>
            </w:r>
          </w:p>
        </w:tc>
        <w:tc>
          <w:tcPr>
            <w:tcW w:w="63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尚未</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审结</w:t>
            </w:r>
          </w:p>
        </w:tc>
        <w:tc>
          <w:tcPr>
            <w:tcW w:w="65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总计</w:t>
            </w:r>
          </w:p>
        </w:tc>
        <w:tc>
          <w:tcPr>
            <w:tcW w:w="3206"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未经复议直接起诉</w:t>
            </w:r>
          </w:p>
        </w:tc>
        <w:tc>
          <w:tcPr>
            <w:tcW w:w="3207"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复议后起诉</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63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i w:val="0"/>
                <w:iCs w:val="0"/>
                <w:color w:val="333333"/>
                <w:sz w:val="24"/>
                <w:szCs w:val="24"/>
              </w:rPr>
            </w:pPr>
          </w:p>
        </w:tc>
        <w:tc>
          <w:tcPr>
            <w:tcW w:w="63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i w:val="0"/>
                <w:iCs w:val="0"/>
                <w:color w:val="333333"/>
                <w:sz w:val="24"/>
                <w:szCs w:val="24"/>
              </w:rPr>
            </w:pPr>
          </w:p>
        </w:tc>
        <w:tc>
          <w:tcPr>
            <w:tcW w:w="63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i w:val="0"/>
                <w:iCs w:val="0"/>
                <w:color w:val="333333"/>
                <w:sz w:val="24"/>
                <w:szCs w:val="24"/>
              </w:rPr>
            </w:pPr>
          </w:p>
        </w:tc>
        <w:tc>
          <w:tcPr>
            <w:tcW w:w="63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i w:val="0"/>
                <w:iCs w:val="0"/>
                <w:color w:val="333333"/>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i w:val="0"/>
                <w:iCs w:val="0"/>
                <w:color w:val="333333"/>
                <w:sz w:val="24"/>
                <w:szCs w:val="24"/>
              </w:rPr>
            </w:pP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结果</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维持</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结果</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纠正</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其他</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结果</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尚未</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审结</w:t>
            </w:r>
          </w:p>
        </w:tc>
        <w:tc>
          <w:tcPr>
            <w:tcW w:w="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总计</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结果</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维持</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结果</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纠正</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其他</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结果</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尚未</w:t>
            </w:r>
            <w:r>
              <w:rPr>
                <w:rFonts w:hint="eastAsia" w:ascii="宋体" w:hAnsi="宋体" w:eastAsia="宋体" w:cs="宋体"/>
                <w:i w:val="0"/>
                <w:iCs w:val="0"/>
                <w:color w:val="333333"/>
                <w:sz w:val="24"/>
                <w:szCs w:val="24"/>
              </w:rPr>
              <w:br w:type="textWrapping"/>
            </w:r>
            <w:r>
              <w:rPr>
                <w:rFonts w:hint="eastAsia" w:ascii="宋体" w:hAnsi="宋体" w:eastAsia="宋体" w:cs="宋体"/>
                <w:i w:val="0"/>
                <w:iCs w:val="0"/>
                <w:color w:val="333333"/>
                <w:sz w:val="24"/>
                <w:szCs w:val="24"/>
              </w:rPr>
              <w:t>审结</w:t>
            </w:r>
          </w:p>
        </w:tc>
        <w:tc>
          <w:tcPr>
            <w:tcW w:w="6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rPr>
              <w:t>总计</w:t>
            </w:r>
          </w:p>
        </w:tc>
      </w:tr>
      <w:tr>
        <w:tblPrEx>
          <w:tblBorders>
            <w:top w:val="single" w:color="333333" w:sz="6" w:space="0"/>
            <w:left w:val="single" w:color="333333" w:sz="6"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lang w:val="en-US" w:eastAsia="zh-CN"/>
              </w:rPr>
            </w:pPr>
            <w:r>
              <w:rPr>
                <w:rFonts w:hint="eastAsia" w:ascii="宋体" w:hAnsi="宋体" w:eastAsia="宋体" w:cs="宋体"/>
                <w:i w:val="0"/>
                <w:iCs w:val="0"/>
                <w:color w:val="333333"/>
                <w:sz w:val="24"/>
                <w:szCs w:val="24"/>
                <w:lang w:val="en-US" w:eastAsia="zh-CN"/>
              </w:rPr>
              <w:t>2</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rPr>
            </w:pPr>
            <w:r>
              <w:rPr>
                <w:rFonts w:hint="eastAsia" w:ascii="宋体" w:hAnsi="宋体" w:eastAsia="宋体" w:cs="宋体"/>
                <w:i w:val="0"/>
                <w:iCs w:val="0"/>
                <w:color w:val="333333"/>
                <w:sz w:val="24"/>
                <w:szCs w:val="24"/>
                <w:lang w:val="en-US" w:eastAsia="zh-CN"/>
              </w:rPr>
              <w:t>0</w:t>
            </w:r>
          </w:p>
        </w:tc>
        <w:tc>
          <w:tcPr>
            <w:tcW w:w="6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i w:val="0"/>
                <w:iCs w:val="0"/>
                <w:color w:val="333333"/>
                <w:sz w:val="24"/>
                <w:szCs w:val="24"/>
                <w:lang w:val="en-US" w:eastAsia="zh-CN"/>
              </w:rPr>
            </w:pPr>
            <w:r>
              <w:rPr>
                <w:rFonts w:hint="eastAsia" w:ascii="宋体" w:hAnsi="宋体" w:eastAsia="宋体" w:cs="宋体"/>
                <w:i w:val="0"/>
                <w:iCs w:val="0"/>
                <w:color w:val="333333"/>
                <w:sz w:val="24"/>
                <w:szCs w:val="24"/>
                <w:lang w:val="en-US" w:eastAsia="zh-CN"/>
              </w:rPr>
              <w:t>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楷体_GB2312" w:hAnsi="楷体_GB2312" w:eastAsia="楷体_GB2312" w:cs="楷体_GB2312"/>
          <w:b/>
          <w:bCs/>
          <w:i w:val="0"/>
          <w:iCs w:val="0"/>
          <w:caps w:val="0"/>
          <w:color w:val="333333"/>
          <w:spacing w:val="0"/>
          <w:sz w:val="32"/>
          <w:szCs w:val="32"/>
          <w:shd w:val="clear" w:fill="FFFFFF"/>
          <w:lang w:eastAsia="zh-CN"/>
        </w:rPr>
        <w:t>（一）存在问题。</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网站</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个别栏目更新频率低，信息内容排版质量较差、图片尺寸不统一</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，新媒体较少使用图解、视频方式等问题仍然存在。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eastAsia="zh-CN"/>
        </w:rPr>
        <w:t>（二）改进情况。</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修订自治区农牧厅门户网站管理办法和信息发布</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考核评估指标，</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明</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确</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所有栏目的更新频率及考核要点</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定期开展门户网站自测工作，对栏目更新不及时等问题进行通报并跟踪整改结果，确保整改到位。开展全区农牧信息员信息发布培训，围绕门户网站信息发布流程、信息安全、内容排版、注意事项等方面开展。加强新媒体采编人员的技能培训，提升图解设计、视频拍摄和编辑能力，建立新媒体内容的数据监测机制，定期分析阅读量、点赞量、转发量等指标，评估新媒体内容的传播效果和受众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六、其他需要报告的事项</w:t>
      </w:r>
    </w:p>
    <w:p>
      <w:pPr>
        <w:ind w:firstLine="640" w:firstLineChars="200"/>
      </w:pPr>
      <w:r>
        <w:rPr>
          <w:rFonts w:hint="eastAsia" w:ascii="仿宋_GB2312" w:hAnsi="仿宋_GB2312" w:eastAsia="仿宋_GB2312" w:cs="仿宋_GB2312"/>
          <w:sz w:val="32"/>
          <w:szCs w:val="32"/>
        </w:rPr>
        <w:t>按照《政府信息公开信息处理费管理办法》，</w:t>
      </w:r>
      <w:r>
        <w:rPr>
          <w:rFonts w:hint="eastAsia" w:ascii="仿宋_GB2312" w:hAnsi="仿宋_GB2312" w:eastAsia="仿宋_GB2312" w:cs="仿宋_GB2312"/>
          <w:sz w:val="32"/>
          <w:szCs w:val="32"/>
          <w:lang w:val="en-US" w:eastAsia="zh-CN"/>
        </w:rPr>
        <w:t>2024年，自治区农牧厅未收取政府信息公开信息处理费。</w:t>
      </w:r>
      <w:r>
        <w:rPr>
          <w:rFonts w:hint="eastAsia" w:ascii="仿宋_GB2312" w:hAnsi="仿宋_GB2312" w:eastAsia="仿宋_GB2312" w:cs="仿宋_GB2312"/>
          <w:sz w:val="32"/>
          <w:szCs w:val="32"/>
        </w:rPr>
        <w:t>本年度无其他需要报告的事项。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82ED8"/>
    <w:rsid w:val="2318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2025-01-17T08:27:00Z</dcterms:created>
  <dc:creator>Administrator</dc:creator>
  <cp:lastModifiedBy>Administrator</cp:lastModifiedBy>
  <dcterms:modified xsi:type="dcterms:W3CDTF">2025-01-17T08:28:24Z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B1B4A245FDF046A3AD97FEBB2FB28E1B</vt:lpwstr>
  </property>
</Properties>
</file>