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2024年第二批农药生产许可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"/>
        </w:rPr>
        <w:t>延续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审查情况公示表</w:t>
      </w:r>
    </w:p>
    <w:tbl>
      <w:tblPr>
        <w:tblStyle w:val="2"/>
        <w:tblpPr w:leftFromText="180" w:rightFromText="180" w:vertAnchor="text" w:horzAnchor="page" w:tblpX="1557" w:tblpY="358"/>
        <w:tblOverlap w:val="never"/>
        <w:tblW w:w="489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3515"/>
        <w:gridCol w:w="1916"/>
        <w:gridCol w:w="1224"/>
        <w:gridCol w:w="2732"/>
        <w:gridCol w:w="1183"/>
        <w:gridCol w:w="1349"/>
        <w:gridCol w:w="13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10" w:type="pct"/>
            <w:vMerge w:val="restart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编号</w:t>
            </w:r>
          </w:p>
        </w:tc>
        <w:tc>
          <w:tcPr>
            <w:tcW w:w="1266" w:type="pct"/>
            <w:vMerge w:val="restart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690" w:type="pct"/>
            <w:vMerge w:val="restart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申请类型</w:t>
            </w:r>
          </w:p>
        </w:tc>
        <w:tc>
          <w:tcPr>
            <w:tcW w:w="441" w:type="pct"/>
            <w:vMerge w:val="restart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拟审查结论</w:t>
            </w:r>
          </w:p>
        </w:tc>
        <w:tc>
          <w:tcPr>
            <w:tcW w:w="984" w:type="pct"/>
            <w:vMerge w:val="restart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审查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</w:rPr>
              <w:t>日期</w:t>
            </w:r>
          </w:p>
        </w:tc>
        <w:tc>
          <w:tcPr>
            <w:tcW w:w="1406" w:type="pct"/>
            <w:gridSpan w:val="3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专家组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10" w:type="pct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6" w:type="pct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0" w:type="pct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1" w:type="pct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84" w:type="pct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26" w:type="pct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组长</w:t>
            </w:r>
          </w:p>
        </w:tc>
        <w:tc>
          <w:tcPr>
            <w:tcW w:w="980" w:type="pct"/>
            <w:gridSpan w:val="2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" w:type="pct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266" w:type="pct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内蒙古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百灵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科技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有限公司</w:t>
            </w:r>
          </w:p>
        </w:tc>
        <w:tc>
          <w:tcPr>
            <w:tcW w:w="690" w:type="pct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"/>
              </w:rPr>
              <w:t>许可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延续</w:t>
            </w:r>
          </w:p>
        </w:tc>
        <w:tc>
          <w:tcPr>
            <w:tcW w:w="441" w:type="pct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合格</w:t>
            </w:r>
          </w:p>
        </w:tc>
        <w:tc>
          <w:tcPr>
            <w:tcW w:w="984" w:type="pct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日</w:t>
            </w:r>
          </w:p>
        </w:tc>
        <w:tc>
          <w:tcPr>
            <w:tcW w:w="426" w:type="pct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王韧</w:t>
            </w:r>
          </w:p>
        </w:tc>
        <w:tc>
          <w:tcPr>
            <w:tcW w:w="486" w:type="pct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周洪友</w:t>
            </w:r>
          </w:p>
        </w:tc>
        <w:tc>
          <w:tcPr>
            <w:tcW w:w="494" w:type="pct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曹立冬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" w:type="pct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266" w:type="pct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内蒙古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佳瑞米精细化工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有限公司</w:t>
            </w:r>
          </w:p>
        </w:tc>
        <w:tc>
          <w:tcPr>
            <w:tcW w:w="690" w:type="pct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"/>
              </w:rPr>
              <w:t>许可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延续</w:t>
            </w:r>
          </w:p>
        </w:tc>
        <w:tc>
          <w:tcPr>
            <w:tcW w:w="441" w:type="pct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合格</w:t>
            </w:r>
          </w:p>
        </w:tc>
        <w:tc>
          <w:tcPr>
            <w:tcW w:w="984" w:type="pct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日</w:t>
            </w:r>
          </w:p>
        </w:tc>
        <w:tc>
          <w:tcPr>
            <w:tcW w:w="426" w:type="pct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王韧</w:t>
            </w:r>
          </w:p>
        </w:tc>
        <w:tc>
          <w:tcPr>
            <w:tcW w:w="486" w:type="pct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周洪友</w:t>
            </w:r>
          </w:p>
        </w:tc>
        <w:tc>
          <w:tcPr>
            <w:tcW w:w="494" w:type="pct"/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曹立冬</w:t>
            </w:r>
          </w:p>
        </w:tc>
      </w:tr>
    </w:tbl>
    <w:p/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pgNumType w:start="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MjM0ZWFmZTBkZWU2NzY1Zjk1MzBjZTQ2YTNlMWEifQ=="/>
  </w:docVars>
  <w:rsids>
    <w:rsidRoot w:val="226571A2"/>
    <w:rsid w:val="2265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页脚1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2024-05-22T10:27:00Z</dcterms:created>
  <dc:creator>L</dc:creator>
  <cp:lastModifiedBy>L</cp:lastModifiedBy>
  <dcterms:modified xsi:type="dcterms:W3CDTF">2024-05-22T10:27:46Z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B45D8B8AD48942669EEC5058D1D4E73A_11</vt:lpwstr>
  </property>
</Properties>
</file>