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内蒙古自治区培育农牧业产业化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重点龙头企业五年行动计划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4"/>
          <w:sz w:val="44"/>
          <w:szCs w:val="44"/>
        </w:rPr>
        <w:t>（</w:t>
      </w:r>
      <w:r>
        <w:rPr>
          <w:rFonts w:ascii="方正小标宋简体" w:hAnsi="方正小标宋简体" w:eastAsia="方正小标宋简体" w:cs="方正小标宋简体"/>
          <w:bCs/>
          <w:spacing w:val="14"/>
          <w:sz w:val="44"/>
          <w:szCs w:val="44"/>
        </w:rPr>
        <w:t>2021—2025年）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为深入贯彻习近平总书记在十三届全国人大四次会议内蒙古代表团</w:t>
      </w:r>
      <w:r>
        <w:rPr>
          <w:rFonts w:ascii="仿宋_GB2312" w:eastAsia="仿宋_GB2312"/>
          <w:spacing w:val="20"/>
          <w:sz w:val="32"/>
          <w:szCs w:val="32"/>
        </w:rPr>
        <w:t>审议时</w:t>
      </w:r>
      <w:r>
        <w:rPr>
          <w:rFonts w:hint="eastAsia" w:ascii="仿宋_GB2312" w:eastAsia="仿宋_GB2312"/>
          <w:sz w:val="32"/>
          <w:szCs w:val="32"/>
        </w:rPr>
        <w:t>的重要讲话精神，落实中央1号文件和自治区党委、政府的工作安排部署，培育行业领军龙头企业，发展适度规模经营，促进农牧业产业化、品牌化，强化农牧企利益联结，增加农牧民收入，做强优势主导产业，推动农牧业高质量发展。现结合我区实际，制订本行动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坚持生态优先、绿色发展理念，立足新发展阶段、贯彻新发展理念、构建新发展格局，以市场为导向，以科技创新为动力，以主导产业标准化生产基地建设为基础，以大力发展农畜产品加工业为着力点，加大政策扶持力度，强化对龙头企业的指导服务，支持龙头企业创新体制机制，推动技术升级、产品研发、品牌培育，延伸产业链，完善供应链、提升价值链，使其成为增强乡村产业发展活力的</w:t>
      </w:r>
      <w:r>
        <w:rPr>
          <w:rFonts w:hint="eastAsia" w:eastAsia="仿宋_GB2312"/>
          <w:sz w:val="32"/>
          <w:szCs w:val="32"/>
        </w:rPr>
        <w:t>领航者、创新乡村产业发展模式的先行者、构筑乡村产业发展高地的新引擎、构建乡村产业体系的排头兵，带动国家重要绿色农畜产品生产基地建设，助力乡村振兴。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坚持市场导向。</w:t>
      </w:r>
      <w:r>
        <w:rPr>
          <w:rFonts w:hint="eastAsia" w:ascii="仿宋_GB2312" w:eastAsia="仿宋_GB2312"/>
          <w:sz w:val="32"/>
          <w:szCs w:val="32"/>
        </w:rPr>
        <w:t>遵循市场规律和产业发展规律，充分发挥市场配置资源的决定性作用，尊重企业、农牧户的市场主体地位和经营决策权，充分调动和发挥各类经营主体的积极性、创造性。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坚持绿色发展。</w:t>
      </w:r>
      <w:r>
        <w:rPr>
          <w:rFonts w:hint="eastAsia" w:ascii="仿宋_GB2312" w:eastAsia="仿宋_GB2312"/>
          <w:sz w:val="32"/>
          <w:szCs w:val="32"/>
        </w:rPr>
        <w:t>积极引导龙头企业开展标准化生产、健全质量控制和可追溯体系，生产开发安全优质、绿色生态的农畜产品及加工产品，促进资源循环高效利用。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坚持创新驱动。</w:t>
      </w:r>
      <w:r>
        <w:rPr>
          <w:rFonts w:hint="eastAsia" w:ascii="仿宋_GB2312" w:eastAsia="仿宋_GB2312"/>
          <w:sz w:val="32"/>
          <w:szCs w:val="32"/>
        </w:rPr>
        <w:t>鼓励龙头企业开展技术创新、管理创新、产品研发，突破加工技术瓶颈，更新配套设备，提高农畜产品精深加工和副产物综合利用水平。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坚持分类指导。</w:t>
      </w:r>
      <w:r>
        <w:rPr>
          <w:rFonts w:hint="eastAsia" w:ascii="仿宋_GB2312" w:eastAsia="仿宋_GB2312"/>
          <w:spacing w:val="-6"/>
          <w:sz w:val="32"/>
          <w:szCs w:val="32"/>
        </w:rPr>
        <w:t>因地制宜、因业施策、因企施策，突出重点、扶优扶强，规划引导、错位发展，探索适合不同地区的农牧业产业化发展路径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（三）发展目标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2025年，主要依托15个农畜产品产业带和2个千亿级、10个百亿级产业集群，聚焦优势特色主导产业和产业发展优势区域，重点在肉羊、肉牛、玉米、马铃薯、向日葵、饲草等产业，力争再培育农业产业化国家重点龙头企业20家，总数达到66家；再培育自治区级农牧业产业化重点龙头企业130家以上，总数达到800家；再培育农牧业产业化联合体200家以上，总数达到650家；助推全区农畜产品加工业与农牧业总产值比力争由</w:t>
      </w:r>
      <w:r>
        <w:rPr>
          <w:rFonts w:ascii="仿宋_GB2312" w:eastAsia="仿宋_GB2312"/>
          <w:sz w:val="32"/>
          <w:szCs w:val="32"/>
        </w:rPr>
        <w:t>1.3:1</w:t>
      </w:r>
      <w:r>
        <w:rPr>
          <w:rFonts w:hint="eastAsia" w:ascii="仿宋_GB2312" w:eastAsia="仿宋_GB2312"/>
          <w:sz w:val="32"/>
          <w:szCs w:val="32"/>
        </w:rPr>
        <w:t>提高到</w:t>
      </w:r>
      <w:r>
        <w:rPr>
          <w:rFonts w:ascii="仿宋_GB2312" w:eastAsia="仿宋_GB2312"/>
          <w:sz w:val="32"/>
          <w:szCs w:val="32"/>
        </w:rPr>
        <w:t>2.8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，主要农畜产品加工转化率力争由</w:t>
      </w:r>
      <w:r>
        <w:rPr>
          <w:rFonts w:ascii="仿宋_GB2312" w:eastAsia="仿宋_GB2312"/>
          <w:sz w:val="32"/>
          <w:szCs w:val="32"/>
        </w:rPr>
        <w:t>65%</w:t>
      </w:r>
      <w:r>
        <w:rPr>
          <w:rFonts w:hint="eastAsia" w:ascii="仿宋_GB2312" w:eastAsia="仿宋_GB2312"/>
          <w:sz w:val="32"/>
          <w:szCs w:val="32"/>
        </w:rPr>
        <w:t>提高到</w:t>
      </w:r>
      <w:r>
        <w:rPr>
          <w:rFonts w:ascii="仿宋_GB2312" w:eastAsia="仿宋_GB2312"/>
          <w:sz w:val="32"/>
          <w:szCs w:val="32"/>
        </w:rPr>
        <w:t>80%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（一）引导龙头企业调整优化布局结构。</w:t>
      </w:r>
      <w:r>
        <w:rPr>
          <w:rFonts w:hint="eastAsia" w:ascii="仿宋_GB2312" w:eastAsia="仿宋_GB2312"/>
          <w:sz w:val="32"/>
          <w:szCs w:val="32"/>
        </w:rPr>
        <w:t>推动龙头企业重心下沉，向中心乡镇苏木、物流节点和产业集聚区聚集，向产业发展潜力</w:t>
      </w:r>
      <w:r>
        <w:rPr>
          <w:rFonts w:hint="eastAsia" w:ascii="仿宋_GB2312" w:eastAsia="仿宋_GB2312"/>
          <w:spacing w:val="-6"/>
          <w:sz w:val="32"/>
          <w:szCs w:val="32"/>
        </w:rPr>
        <w:t>大、加工基础薄弱和脱贫地区扩展，在粮食生产功能区、重要农产品生产保护区和特色农畜产品优势区，建设加工专用原料基地，布局加工产能，完善仓储物流、品牌营销和服务网络，构建生产与加工、科研与产业、企业与农牧户相互衔接配套的上下游产业格局，促进农畜产品就地就近加工转化增值，改变加工在城市、原料在乡村的现状。通过企业上下游联动，形成产业关联度大、精深加工能力强、规模集约水平高、辐射带动面广的产业园区，加快实现加工园区化、园区产业化、产业集聚化，扶持园区内龙头企业争创名牌，增强产品的核心竞争力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（责任部门:自治区农牧厅、发展改革委、工信厅、商务厅、自然资源厅、市场监管局）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（二）鼓励龙头企业建设标准化生产基地。</w:t>
      </w:r>
      <w:r>
        <w:rPr>
          <w:rFonts w:hint="eastAsia" w:ascii="仿宋_GB2312" w:eastAsia="仿宋_GB2312"/>
          <w:sz w:val="32"/>
          <w:szCs w:val="32"/>
        </w:rPr>
        <w:t>支持符合条件的龙头企业开展高标准农田、标准化规模养殖场等项目建设；鼓励龙头企业通过自建、联合、入股等多种方式建设标准化种养基地；加大龙头企业农机补贴力度，加快更新先进适用机具，提升农牧业机械化水平；对龙头企业带动农牧户和专业合作社开展农畜产品产地初加工的，给予设施建设和设备购置支持；支持龙头企业开展质量管理体系和绿色有机农畜产品基地建设；建立健全农畜产品标准体系，鼓励龙头企业参与相关标准修制订，推动行业健康有序发展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（责任部门:自治区农牧厅、发展改革委、财政厅、生态环境厅、自然资源厅、市场监管局）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（三）支持龙头企业发展农畜产品加工业。</w:t>
      </w:r>
      <w:r>
        <w:rPr>
          <w:rFonts w:hint="eastAsia" w:ascii="仿宋_GB2312" w:eastAsia="仿宋_GB2312"/>
          <w:sz w:val="32"/>
          <w:szCs w:val="32"/>
        </w:rPr>
        <w:t>鼓励龙头企业发展贮藏、保鲜、烘干、清选分级、包装等初加工；挖掘农畜产品的多种功能价值，提取营养因子、功能成分和活性物质，开发精深加工产品；加快推进副产物综合利用。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发展牛奶、羊奶、驼奶、马奶等绿色特色奶制品和传统奶食品；加快推进玉米加工技术改造和产品升级，重点发展氨基酸、生物制药等高科技含量、高附加值产品；发展牛羊肉精细分割、冷鲜肉、熟食、速冻食品、预制菜肴等加工产品，完善草原牛羊肉全程质量可追溯体系，打绿色有机牌、走高端精品路，提升产品溢价能力；鼓励羊绒加工企业研发生产高附加值产品，提升品牌价值，培育国际化知名品牌；引导小麦、水稻等口粮适度加工，减少因过度加工造成的资源浪费和营养流失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提高出粉和出米率；支持向日葵加工企业发展精深加工，开发高端休闲食品；积极发展蔬菜清洗包装和鲜切菜、净菜、脱水菜加工。</w:t>
      </w:r>
      <w:r>
        <w:rPr>
          <w:rFonts w:hint="eastAsia" w:ascii="仿宋_GB2312" w:eastAsia="仿宋_GB2312"/>
          <w:spacing w:val="-6"/>
          <w:sz w:val="32"/>
          <w:szCs w:val="32"/>
        </w:rPr>
        <w:t>鼓励加工企业开展质量管理、食品安全控制、追溯等体系认证。积极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发展智能工厂和智慧园区，</w:t>
      </w:r>
      <w:r>
        <w:rPr>
          <w:rFonts w:hint="eastAsia" w:ascii="仿宋_GB2312" w:eastAsia="仿宋_GB2312"/>
          <w:spacing w:val="-6"/>
          <w:sz w:val="32"/>
          <w:szCs w:val="32"/>
        </w:rPr>
        <w:t>打造网络化、智能化、精细化现代加工新模式。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培育一批主食加工示范企业，完善提升一批国家农产品加工研发分中心，培育一批年销售收入超</w:t>
      </w:r>
      <w:r>
        <w:rPr>
          <w:rFonts w:ascii="Times New Roman" w:hAnsi="Times New Roman" w:eastAsia="仿宋_GB2312"/>
          <w:spacing w:val="-6"/>
          <w:sz w:val="32"/>
          <w:szCs w:val="32"/>
        </w:rPr>
        <w:t>10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亿元的加工企业。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（责任部门:自治区工信厅、财政厅、发展改革委、科技厅、农牧厅、生态环境厅、自然资源厅、市场监管局）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（四）支持龙头企业参与农牧业产业融合发展项目建设。</w:t>
      </w:r>
      <w:r>
        <w:rPr>
          <w:rFonts w:hint="eastAsia" w:ascii="仿宋_GB2312" w:eastAsia="仿宋_GB2312"/>
          <w:sz w:val="32"/>
          <w:szCs w:val="32"/>
        </w:rPr>
        <w:t>立足优势和资源禀赋，引导龙头企业瞄准农牧业全产业链开发，发展主导产业，构建以产业强镇为基础、产业园为引擎、产业集群为骨干、盟市旗县乡镇梯次布局、点线面协同推进的现代乡村产业体系。以规模种养为基础，推进“生产+加工+科技”一体化发展，集聚现代要素和经营主体，加快产业全环节升级全链条增值。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龙头企业等经营主体参与</w:t>
      </w:r>
      <w:r>
        <w:rPr>
          <w:rFonts w:hint="eastAsia" w:ascii="仿宋_GB2312" w:eastAsia="仿宋_GB2312"/>
          <w:sz w:val="32"/>
          <w:szCs w:val="32"/>
        </w:rPr>
        <w:t>优势特色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产业集群建设，重点支持规模生产基地标准化、商品化生产水平提升，农畜产品初加工、精深加工和物流设施建设，农牧业全产业链数字化等新基建建设，市场品牌体系和公共服务平台建设，</w:t>
      </w:r>
      <w:r>
        <w:rPr>
          <w:rFonts w:hint="eastAsia" w:eastAsia="仿宋_GB2312"/>
          <w:sz w:val="32"/>
          <w:szCs w:val="32"/>
        </w:rPr>
        <w:t>以及经营主体和服务主体培育壮大等方面；鼓励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龙头企业等经营主体</w:t>
      </w:r>
      <w:r>
        <w:rPr>
          <w:rFonts w:hint="eastAsia" w:eastAsia="仿宋_GB2312"/>
          <w:sz w:val="32"/>
          <w:szCs w:val="32"/>
        </w:rPr>
        <w:t>参与现代农牧业产业园建设，主要支持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eastAsia="仿宋_GB2312"/>
          <w:sz w:val="32"/>
          <w:szCs w:val="32"/>
        </w:rPr>
        <w:t>规模化种养基础设施、产业链供应链完善提升、科技协同创新平台建设、智慧农牧业建设、农畜产品认证与品牌培育、联动带农增收等方面；鼓励龙头企业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等经营主体参与</w:t>
      </w:r>
      <w:r>
        <w:rPr>
          <w:rFonts w:hint="eastAsia" w:eastAsia="仿宋_GB2312"/>
          <w:sz w:val="32"/>
          <w:szCs w:val="32"/>
        </w:rPr>
        <w:t>产业强镇项目建设，主要支持聚焦镇域主导产业关键领域、薄弱环节，提升原料基地、加工营销等设施装备水平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，促进主导产业转型升级、由大变强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（责任部门:自治区农牧厅、财政厅）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（五）强化龙头企业科技创新能力。</w:t>
      </w:r>
      <w:r>
        <w:rPr>
          <w:rFonts w:hint="eastAsia" w:eastAsia="仿宋_GB2312"/>
          <w:sz w:val="32"/>
          <w:szCs w:val="32"/>
        </w:rPr>
        <w:t>支持龙头企业申请使用国家有关农牧业科技研发、引进和推广等资金；鼓励引导龙头企业建立农牧业科技研发中心</w:t>
      </w:r>
      <w:r>
        <w:rPr>
          <w:rFonts w:hint="eastAsia" w:ascii="仿宋_GB2312" w:eastAsia="仿宋_GB2312"/>
          <w:sz w:val="32"/>
          <w:szCs w:val="32"/>
        </w:rPr>
        <w:t>，开展农牧业科技创新风险投资。通过自治区科技专项经费支持龙头企业开展科技攻关项目。推进加工技术创新，支持龙头企业以农畜产品加工关键环节和瓶颈制约为重点，建设农畜产品加工与贮藏重点实验室、保鲜物流技术研究中心，鼓励龙头企业与科研院所、大专院校联合开展技术攻关，</w:t>
      </w:r>
      <w:r>
        <w:rPr>
          <w:rFonts w:hint="eastAsia" w:eastAsia="仿宋_GB2312"/>
          <w:sz w:val="32"/>
          <w:szCs w:val="32"/>
        </w:rPr>
        <w:t>建立产学研科技成果转化机制，</w:t>
      </w:r>
      <w:r>
        <w:rPr>
          <w:rFonts w:hint="eastAsia" w:ascii="Times New Roman" w:hAnsi="Times New Roman" w:eastAsia="仿宋_GB2312"/>
          <w:sz w:val="32"/>
          <w:szCs w:val="32"/>
        </w:rPr>
        <w:t>培育一批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产学研推用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紧密结合的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产创联合体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攻克一批重大关键技术，提升科技水平。鼓励龙头企</w:t>
      </w:r>
      <w:r>
        <w:rPr>
          <w:rFonts w:hint="eastAsia" w:ascii="仿宋_GB2312" w:eastAsia="仿宋_GB2312"/>
          <w:sz w:val="32"/>
          <w:szCs w:val="32"/>
        </w:rPr>
        <w:t>业开展种子等资源的收集、利用、选育及农畜产品精深加工研发，对企业获得国家发明专利或者取得新品种保护权的，给予适当奖励。支持科研事业单位以职务科技成果入股龙头企业，按相关规定实行股权分红等激励措施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（责任部门:自治区科技厅、工信厅、财政厅、发改委、农牧厅）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（六）支持龙头企业人才建设和创业创新</w:t>
      </w:r>
      <w:r>
        <w:rPr>
          <w:rFonts w:hint="eastAsia" w:ascii="楷体_GB2312" w:eastAsia="楷体_GB2312"/>
          <w:b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支持龙头企业采取多种形式培养业务骨干，引进高层次人才，符合条件的享受当地政府人才引进待遇。鼓励和引导高校毕业生到龙头企业就业，对在基层就业的，按规定享受学费补偿和国家助学贷款代偿等政策。支持龙头企业参与</w:t>
      </w:r>
      <w:r>
        <w:rPr>
          <w:rFonts w:hint="eastAsia" w:ascii="Times New Roman" w:hAnsi="Times New Roman" w:eastAsia="仿宋_GB2312"/>
          <w:sz w:val="32"/>
          <w:szCs w:val="32"/>
        </w:rPr>
        <w:t>农村牧区创业创新带头人培育行动，培养农村牧区创业创新导师和优秀带头人，</w:t>
      </w:r>
      <w:r>
        <w:rPr>
          <w:rFonts w:hint="eastAsia" w:ascii="仿宋_GB2312" w:eastAsia="仿宋_GB2312"/>
          <w:sz w:val="32"/>
          <w:szCs w:val="32"/>
        </w:rPr>
        <w:t>建设创业创新园区和孵化实训基地</w:t>
      </w:r>
      <w:r>
        <w:rPr>
          <w:rFonts w:hint="eastAsia" w:ascii="Times New Roman" w:hAnsi="Times New Roman" w:eastAsia="仿宋_GB2312"/>
          <w:sz w:val="32"/>
          <w:szCs w:val="32"/>
        </w:rPr>
        <w:t>，开展创业创新人才培训、辅导、交流，参加创业创新项目大赛等展示展览宣传活动。</w:t>
      </w:r>
      <w:r>
        <w:rPr>
          <w:rFonts w:hint="eastAsia" w:ascii="仿宋_GB2312" w:eastAsia="仿宋_GB2312"/>
          <w:sz w:val="32"/>
          <w:szCs w:val="32"/>
        </w:rPr>
        <w:t>支持返乡下乡人员创办领办龙头企业。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责任部门:自治区人社厅、商务厅、财政厅、发改委、农牧厅）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（七）支持龙头企业推进品牌建设和产销衔接。</w:t>
      </w:r>
      <w:r>
        <w:rPr>
          <w:rFonts w:hint="eastAsia" w:ascii="Times New Roman" w:hAnsi="Times New Roman" w:eastAsia="仿宋_GB2312"/>
          <w:sz w:val="32"/>
          <w:szCs w:val="32"/>
        </w:rPr>
        <w:t>强化自治区级以上重点龙头企业认定监测，引导各地培育一批盟市、旗县级龙头企业，形成国家、自治区、盟市、旗县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四级联动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发展格局。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引导龙头企业强化品牌意识，</w:t>
      </w:r>
      <w:r>
        <w:rPr>
          <w:rFonts w:hint="eastAsia" w:eastAsia="仿宋_GB2312"/>
          <w:sz w:val="32"/>
          <w:szCs w:val="32"/>
        </w:rPr>
        <w:t>创建知名品牌，提高企业竞争力，积极开展“蒙字标”认证，打造“蒙字标”品牌；鼓励龙头企业申报绿色和有机农产品认证，开展国际认证认可，推进国际标准应用，支持龙头企业申请注册国际商标，积极培育出口产品品牌。对获得国际认证、自治区主席质量奖、绿色和有机农产品认证的企业给予奖励。鼓励龙头企业大力发展连锁店、直营店、配送中心和电子商务，研发和应用农畜产品物联网，推进流通标准化，提高流通效率；支持龙头企业改善农畜产品贮藏、加工、运输和配送等冷链设施与设备；支持符合条件的国家</w:t>
      </w:r>
      <w:r>
        <w:rPr>
          <w:rFonts w:eastAsia="仿宋_GB2312"/>
          <w:color w:val="000000" w:themeColor="text1"/>
          <w:sz w:val="32"/>
          <w:szCs w:val="32"/>
        </w:rPr>
        <w:t>和自治区级重点龙头企业承担重要农畜产品收储业务；探索发展牛羊肉、马铃薯</w:t>
      </w:r>
      <w:r>
        <w:rPr>
          <w:rFonts w:hint="eastAsia" w:eastAsia="仿宋_GB2312"/>
          <w:color w:val="000000" w:themeColor="text1"/>
          <w:sz w:val="32"/>
          <w:szCs w:val="32"/>
        </w:rPr>
        <w:t>、羊绒、向日葵</w:t>
      </w:r>
      <w:r>
        <w:rPr>
          <w:rFonts w:eastAsia="仿宋_GB2312"/>
          <w:color w:val="000000" w:themeColor="text1"/>
          <w:sz w:val="32"/>
          <w:szCs w:val="32"/>
        </w:rPr>
        <w:t>等大宗农畜产品期货市场，鼓励龙头企业利用农畜产品期货市场开展套期保值，进行风险管理。支持大型农畜产品批发市场改造升级，鼓励和引导龙头企业参与农畜产品交易公共信息平台、现代物流中心建设，支持龙头企业建立健全农畜产品营销网络，促进高效畅通安全的现代流通体系建设；大力发展农超对接，积极开展直营直供；支持龙头企业参加各种形式的展示展销活动</w:t>
      </w:r>
      <w:r>
        <w:rPr>
          <w:rFonts w:hint="eastAsia" w:eastAsia="仿宋_GB2312"/>
          <w:sz w:val="32"/>
          <w:szCs w:val="32"/>
        </w:rPr>
        <w:t>，促进产销有效对接。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责任部门:发改委、市场监管局、商务厅、工信厅、发改委、农牧厅）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</w:rPr>
        <w:t>（八）引导龙头企业完善利益联结机制。</w:t>
      </w:r>
      <w:r>
        <w:rPr>
          <w:rFonts w:hint="eastAsia" w:eastAsia="仿宋_GB2312"/>
          <w:color w:val="000000" w:themeColor="text1"/>
          <w:sz w:val="32"/>
          <w:szCs w:val="32"/>
        </w:rPr>
        <w:t>鼓励龙头企业</w:t>
      </w:r>
      <w:r>
        <w:rPr>
          <w:rFonts w:eastAsia="仿宋_GB2312"/>
          <w:color w:val="000000" w:themeColor="text1"/>
          <w:sz w:val="32"/>
          <w:szCs w:val="32"/>
        </w:rPr>
        <w:t>发展订单农牧业，</w:t>
      </w:r>
      <w:r>
        <w:rPr>
          <w:rFonts w:hint="eastAsia" w:eastAsia="仿宋_GB2312"/>
          <w:color w:val="000000" w:themeColor="text1"/>
          <w:sz w:val="32"/>
          <w:szCs w:val="32"/>
        </w:rPr>
        <w:t>引导</w:t>
      </w:r>
      <w:r>
        <w:rPr>
          <w:rFonts w:eastAsia="仿宋_GB2312"/>
          <w:color w:val="000000" w:themeColor="text1"/>
          <w:sz w:val="32"/>
          <w:szCs w:val="32"/>
        </w:rPr>
        <w:t>龙头企业资助订单农牧户参加农牧业保险；引导龙头企业领办</w:t>
      </w:r>
      <w:r>
        <w:rPr>
          <w:rFonts w:hint="eastAsia" w:eastAsia="仿宋_GB2312"/>
          <w:color w:val="000000" w:themeColor="text1"/>
          <w:sz w:val="32"/>
          <w:szCs w:val="32"/>
        </w:rPr>
        <w:t>农牧业产业化联合体等</w:t>
      </w:r>
      <w:r>
        <w:rPr>
          <w:rFonts w:eastAsia="仿宋_GB2312"/>
          <w:color w:val="000000" w:themeColor="text1"/>
          <w:sz w:val="32"/>
          <w:szCs w:val="32"/>
        </w:rPr>
        <w:t>各类合作组织，鼓励龙头企业采取股份分红、利润返还等形式，将加工、销售环节的部分收益让利给农牧户；支持龙头企业带动农牧户参与设施农业和规模养殖，充分发挥其示范和引导作用。</w:t>
      </w:r>
      <w:r>
        <w:rPr>
          <w:rFonts w:hint="eastAsia" w:eastAsia="仿宋_GB2312"/>
          <w:color w:val="000000" w:themeColor="text1"/>
          <w:sz w:val="32"/>
          <w:szCs w:val="32"/>
        </w:rPr>
        <w:t>引导龙头企业增强社会责任意识，</w:t>
      </w:r>
      <w:r>
        <w:rPr>
          <w:rFonts w:eastAsia="仿宋_GB2312"/>
          <w:color w:val="000000" w:themeColor="text1"/>
          <w:sz w:val="32"/>
          <w:szCs w:val="32"/>
        </w:rPr>
        <w:t>支持龙头企业围绕产前、产中、产后各环节，为基地农牧户积极开展</w:t>
      </w:r>
      <w:r>
        <w:rPr>
          <w:rFonts w:hint="eastAsia" w:eastAsia="仿宋_GB2312"/>
          <w:color w:val="000000" w:themeColor="text1"/>
          <w:sz w:val="32"/>
          <w:szCs w:val="32"/>
        </w:rPr>
        <w:t>贷款担保、</w:t>
      </w:r>
      <w:r>
        <w:rPr>
          <w:rFonts w:eastAsia="仿宋_GB2312"/>
          <w:color w:val="000000" w:themeColor="text1"/>
          <w:sz w:val="32"/>
          <w:szCs w:val="32"/>
        </w:rPr>
        <w:t>农资供应、技术指导、疫病防治、市场信息、产品营销等各类服务；鼓励龙头企业积极参与农村牧区公益事业，用于公益事业的捐赠支出，对符合法律法规规定的，在计算企业所得税前扣除。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（责任部门:自治区农牧厅、财政厅、民政厅、税务局）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（九）推动龙头企业全产业链融合发展。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龙头企业以加工流通带动业态融合，发展中央厨房、直供直销、会员农牧业等业态；以功能拓展带动业态融合，推进农牧业与文化、旅游、教育、康养、服务等产业融合，发展创意农牧业、休闲农牧业、乡村旅游等业态；以信息技术带动业态融合，促进农牧业与信息产业融合，发展农村牧区电商、数字农牧业、智慧农牧业等，打造农牧业全产业链，遴选一批特色鲜明、链条健全、联结紧密、业态丰富、创业活跃的农牧业全产业链，培育一批农牧业全产业链典型模式和“链主”企业。</w:t>
      </w:r>
      <w:r>
        <w:rPr>
          <w:rFonts w:hint="eastAsia" w:ascii="仿宋_GB2312" w:eastAsia="仿宋_GB2312"/>
          <w:sz w:val="32"/>
          <w:szCs w:val="32"/>
        </w:rPr>
        <w:t>支持有比较优势的龙头企业以资本为纽带，以品牌为核心，大范围整合资源要素，通过兼并、重组、收购、控股等方式，扩大企业经营规模，组建企业集团，培育行业领军企</w:t>
      </w:r>
      <w:r>
        <w:rPr>
          <w:rFonts w:hint="eastAsia" w:eastAsia="仿宋_GB2312"/>
          <w:sz w:val="32"/>
          <w:szCs w:val="32"/>
        </w:rPr>
        <w:t>业。扩大与国内外知名企业的合作交流，积极引进国内外知名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eastAsia="仿宋_GB2312"/>
          <w:sz w:val="32"/>
          <w:szCs w:val="32"/>
        </w:rPr>
        <w:t>、先进技术和资本，构建国内国际相互促进的新发展格局。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（责任部门:自治区农牧厅、财政厅、发展改革委、工信厅、商务厅、文化和旅游厅、教育厅、生态环境厅、自然资源厅、市场监管局）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三、保障措施</w:t>
      </w:r>
      <w:bookmarkStart w:id="0" w:name="_Toc437594124"/>
      <w:bookmarkStart w:id="1" w:name="_Toc14771"/>
      <w:bookmarkStart w:id="2" w:name="_Toc4869323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（一）加强组织领导。</w:t>
      </w:r>
      <w:r>
        <w:rPr>
          <w:rFonts w:hint="eastAsia" w:eastAsia="仿宋_GB2312"/>
          <w:sz w:val="32"/>
          <w:szCs w:val="32"/>
        </w:rPr>
        <w:t>完善自治区推进农牧业产业化领导小组工作制度，健全</w:t>
      </w:r>
      <w:r>
        <w:rPr>
          <w:rFonts w:hint="eastAsia" w:ascii="仿宋_GB2312" w:hAnsi="楷体" w:eastAsia="仿宋_GB2312"/>
          <w:sz w:val="32"/>
          <w:szCs w:val="32"/>
        </w:rPr>
        <w:t>调度会商、情况通报、目标考核等工作机制，强化各部门协作配合，形成工作合力，支持龙头企业发展。将培育农牧业产业化重点龙头企业、农畜产品加工转化率和农畜产品加工业与农牧业产值比</w:t>
      </w:r>
      <w:r>
        <w:rPr>
          <w:rFonts w:ascii="仿宋_GB2312" w:hAnsi="楷体" w:eastAsia="仿宋_GB2312"/>
          <w:sz w:val="32"/>
          <w:szCs w:val="32"/>
        </w:rPr>
        <w:t>3项指标</w:t>
      </w:r>
      <w:r>
        <w:rPr>
          <w:rFonts w:hint="eastAsia" w:ascii="仿宋_GB2312" w:hAnsi="楷体" w:eastAsia="仿宋_GB2312"/>
          <w:sz w:val="32"/>
          <w:szCs w:val="32"/>
        </w:rPr>
        <w:t>纳入乡村振兴考核综合评价体系，实行目标管理，推动各地</w:t>
      </w:r>
      <w:r>
        <w:rPr>
          <w:rFonts w:hint="eastAsia" w:eastAsia="仿宋_GB2312"/>
          <w:sz w:val="32"/>
          <w:szCs w:val="32"/>
        </w:rPr>
        <w:t>研究制定培育龙头企业的政策措施，</w:t>
      </w:r>
      <w:r>
        <w:rPr>
          <w:rFonts w:hint="eastAsia" w:ascii="仿宋_GB2312" w:hAnsi="楷体" w:eastAsia="仿宋_GB2312"/>
          <w:sz w:val="32"/>
          <w:szCs w:val="32"/>
        </w:rPr>
        <w:t>支持龙头企业</w:t>
      </w:r>
      <w:r>
        <w:rPr>
          <w:rFonts w:hint="eastAsia" w:eastAsia="仿宋_GB2312"/>
          <w:sz w:val="32"/>
          <w:szCs w:val="32"/>
        </w:rPr>
        <w:t>延伸产业链、提升价值链，壮大农牧业产业化重点龙头企业队伍。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（二）强化政策支持。</w:t>
      </w:r>
      <w:r>
        <w:rPr>
          <w:rFonts w:hint="eastAsia" w:eastAsia="仿宋_GB2312"/>
          <w:sz w:val="32"/>
          <w:szCs w:val="32"/>
        </w:rPr>
        <w:t>各地、各部门要深入贯彻中央和自治区优化营商环境、减轻企业负担的决策部署，全面落实国家和自治区减税降费、信贷支持等一系列扶持政策，增强企业发展信心和动力。</w:t>
      </w:r>
      <w:r>
        <w:rPr>
          <w:rFonts w:hint="eastAsia" w:eastAsia="仿宋_GB2312"/>
          <w:spacing w:val="-6"/>
          <w:sz w:val="32"/>
          <w:szCs w:val="32"/>
        </w:rPr>
        <w:t>落实好自然资源部、国家发展改革委、农业农村部《关于保障和规范农村一二三产业融合发展用地的通知》要求，优先保障龙头企业用于农畜产品加工流通、农村牧区休闲观光旅游、电子商务等混合融合的产业用地需求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（三）强化金融支持。</w:t>
      </w:r>
      <w:r>
        <w:rPr>
          <w:rFonts w:hint="eastAsia" w:ascii="仿宋_GB2312" w:hAnsi="楷体" w:eastAsia="仿宋_GB2312"/>
          <w:sz w:val="32"/>
          <w:szCs w:val="32"/>
        </w:rPr>
        <w:t>创新金融服务，实施好深化农</w:t>
      </w:r>
      <w:r>
        <w:rPr>
          <w:rFonts w:ascii="仿宋_GB2312" w:hAnsi="楷体" w:eastAsia="仿宋_GB2312"/>
          <w:sz w:val="32"/>
          <w:szCs w:val="32"/>
        </w:rPr>
        <w:t>(牧)</w:t>
      </w:r>
      <w:r>
        <w:rPr>
          <w:rFonts w:hint="eastAsia" w:ascii="仿宋_GB2312" w:hAnsi="楷体" w:eastAsia="仿宋_GB2312"/>
          <w:sz w:val="32"/>
          <w:szCs w:val="32"/>
        </w:rPr>
        <w:t>企利益联结机制融资担保贷款等项目，</w:t>
      </w:r>
      <w:r>
        <w:rPr>
          <w:rFonts w:hint="eastAsia" w:eastAsia="仿宋_GB2312"/>
          <w:sz w:val="32"/>
          <w:szCs w:val="32"/>
        </w:rPr>
        <w:t>开展以牲畜活体、符合抵押权属要求的种养殖设施为抵押物的抵押贷款业务，探索通过风险补偿、贴息、补贴担保费等方式，放大风险补偿资金倍数，提高企业融资能力。对自治区级以上农牧业产业化重点龙头企业在贷款、担保等方面适当放宽条件、简化程序、降低费率。充分发挥农牧业产业化资金和乡村振兴基金作用，加大对自治区级以上农牧业产业化重点龙头企业的支持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（四）加强宣传引导。</w:t>
      </w:r>
      <w:r>
        <w:rPr>
          <w:rFonts w:hint="eastAsia" w:ascii="仿宋_GB2312" w:hAnsi="楷体" w:eastAsia="仿宋_GB2312"/>
          <w:sz w:val="32"/>
          <w:szCs w:val="32"/>
        </w:rPr>
        <w:t>各地要</w:t>
      </w:r>
      <w:r>
        <w:rPr>
          <w:rFonts w:ascii="仿宋_GB2312" w:hAnsi="楷体" w:eastAsia="仿宋_GB2312"/>
          <w:sz w:val="32"/>
          <w:szCs w:val="32"/>
        </w:rPr>
        <w:t>认真总结农牧业产业化重点龙头企业带动农牧户增收致富、发展现代农牧业的好经验好做法，</w:t>
      </w:r>
      <w:r>
        <w:rPr>
          <w:rFonts w:hint="eastAsia" w:ascii="Times New Roman" w:hAnsi="Times New Roman" w:eastAsia="仿宋_GB2312"/>
          <w:sz w:val="32"/>
          <w:szCs w:val="32"/>
        </w:rPr>
        <w:t>宣传推介一批全区优秀乡村企业家典型案例，</w:t>
      </w:r>
      <w:r>
        <w:rPr>
          <w:rFonts w:ascii="仿宋_GB2312" w:hAnsi="楷体" w:eastAsia="仿宋_GB2312"/>
          <w:sz w:val="32"/>
          <w:szCs w:val="32"/>
        </w:rPr>
        <w:t>大力宣传农牧业产业化发展成就，总结典型经验和工作亮点。</w:t>
      </w:r>
      <w:r>
        <w:rPr>
          <w:rFonts w:hint="eastAsia" w:ascii="仿宋_GB2312" w:hAnsi="楷体" w:eastAsia="仿宋_GB2312"/>
          <w:sz w:val="32"/>
          <w:szCs w:val="32"/>
        </w:rPr>
        <w:t>各地要采取</w:t>
      </w:r>
      <w:r>
        <w:rPr>
          <w:rFonts w:ascii="仿宋_GB2312" w:hAnsi="楷体" w:eastAsia="仿宋_GB2312"/>
          <w:sz w:val="32"/>
          <w:szCs w:val="32"/>
        </w:rPr>
        <w:t>现场观摩</w:t>
      </w:r>
      <w:r>
        <w:rPr>
          <w:rFonts w:hint="eastAsia" w:ascii="仿宋_GB2312" w:hAnsi="楷体" w:eastAsia="仿宋_GB2312"/>
          <w:sz w:val="32"/>
          <w:szCs w:val="32"/>
        </w:rPr>
        <w:t>、培训</w:t>
      </w:r>
      <w:r>
        <w:rPr>
          <w:rFonts w:ascii="仿宋_GB2312" w:hAnsi="楷体" w:eastAsia="仿宋_GB2312"/>
          <w:sz w:val="32"/>
          <w:szCs w:val="32"/>
        </w:rPr>
        <w:t>会</w:t>
      </w:r>
      <w:r>
        <w:rPr>
          <w:rFonts w:hint="eastAsia" w:ascii="仿宋_GB2312" w:hAnsi="楷体" w:eastAsia="仿宋_GB2312"/>
          <w:sz w:val="32"/>
          <w:szCs w:val="32"/>
        </w:rPr>
        <w:t>等形式</w:t>
      </w:r>
      <w:r>
        <w:rPr>
          <w:rFonts w:ascii="仿宋_GB2312" w:hAnsi="楷体" w:eastAsia="仿宋_GB2312"/>
          <w:sz w:val="32"/>
          <w:szCs w:val="32"/>
        </w:rPr>
        <w:t>，营造全社会关心支持农牧业产业化和龙头企业发展的良好氛围。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黑体" w:hAnsi="黑体" w:eastAsia="黑体"/>
          <w:color w:val="000000" w:themeColor="text1"/>
          <w:sz w:val="32"/>
          <w:szCs w:val="32"/>
        </w:rPr>
        <w:sectPr>
          <w:footerReference r:id="rId4" w:type="default"/>
          <w:pgSz w:w="11906" w:h="16838"/>
          <w:pgMar w:top="2098" w:right="1531" w:bottom="1871" w:left="1531" w:header="851" w:footer="1644" w:gutter="0"/>
          <w:pgNumType w:fmt="numberInDash" w:start="3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_GB2312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培育农牧业产业化重点龙头企业五年行动计划年度目标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992"/>
        <w:gridCol w:w="1276"/>
        <w:gridCol w:w="1559"/>
        <w:gridCol w:w="1276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指标名称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2020年基值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2021年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2022年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2023年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2024年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2025年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主要农畜产品加工转化率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（%）</w:t>
            </w:r>
            <w:bookmarkStart w:id="3" w:name="_GoBack"/>
            <w:bookmarkEnd w:id="3"/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65%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68%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72%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75%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78%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80%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农畜产品加工业与农牧业总产值比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1.3：1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1.5：1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1.8：1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2.2：1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2.5：1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2.8：1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农业产业化国家重点龙头企业（个）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≥52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≥52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国家优势特色产业集群（个）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≥3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≥4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≥7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国家现代农业产业园（个）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≥4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≥5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≥7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≥8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自治区现代农牧业产业园（个）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≥12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≥17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≥22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≥27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≥32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自治区农牧业产业化重点龙头企业（个）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592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≥670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≥670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≥750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≥750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≥800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全区农牧业产业化联合体（个）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416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≥450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≥500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≥550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≥600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≥650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累计值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color w:val="000000" w:themeColor="text1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pict>
          <v:shape id="文本框 1" o:spid="_x0000_s2050" o:spt="202" type="#_x0000_t202" style="position:absolute;left:0pt;margin-left:39.4pt;margin-top:490.4pt;height:45.6pt;width:41.4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+hmMdkA&#10;AAAKAQAADwAAAAAAAAABACAAAAAiAAAAZHJzL2Rvd25yZXYueG1sUEsBAhQAFAAAAAgAh07iQLds&#10;Y5RXAgAAmQQAAA4AAAAAAAAAAQAgAAAAKAEAAGRycy9lMm9Eb2MueG1sUEsFBgAAAAAGAAYAWQEA&#10;APEFAAAAAA==&#10;">
            <v:path/>
            <v:fill on="t" color2="#FFFFFF" focussize="0,0"/>
            <v:stroke on="f" weight="0.5pt"/>
            <v:imagedata o:title=""/>
            <o:lock v:ext="edit" aspectratio="f"/>
            <v:textbox style="layout-flow:vertical;">
              <w:txbxContent>
                <w:p>
                  <w:pP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  <w:instrText xml:space="preserve">PAGE   \* MERGEFORMAT</w:instrText>
                  </w:r>
                  <w: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Theme="minorEastAsia" w:hAnsiTheme="minorEastAsia" w:eastAsiaTheme="minorEastAsia"/>
                      <w:sz w:val="28"/>
                      <w:szCs w:val="28"/>
                      <w:lang w:val="zh-CN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  <w:lang w:val="en-US" w:eastAsia="zh-CN"/>
                    </w:rPr>
                    <w:t>13</w:t>
                  </w:r>
                  <w: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  <w:t xml:space="preserve"> -</w:t>
                  </w:r>
                  <w: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</w:p>
    <w:sectPr>
      <w:footerReference r:id="rId5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/>
    </w:pPr>
    <w:r>
      <w:pict>
        <v:shape id="_x0000_s4097" o:spid="_x0000_s4097" o:spt="202" type="#_x0000_t202" style="position:absolute;left:0pt;margin-top:0pt;height:2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/ID7dMAAAADAQAADwAAAAAAAAABACAAAAAiAAAAZHJzL2Rvd25yZXYueG1sUEsBAhQA&#10;FAAAAAgAh07iQGE9M5owAgAAUwQAAA4AAAAAAAAAAQAgAAAAIg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56F"/>
    <w:rsid w:val="00005DFB"/>
    <w:rsid w:val="00010F82"/>
    <w:rsid w:val="00025220"/>
    <w:rsid w:val="0003244A"/>
    <w:rsid w:val="000339FC"/>
    <w:rsid w:val="00042EA5"/>
    <w:rsid w:val="0005020C"/>
    <w:rsid w:val="0008634A"/>
    <w:rsid w:val="000952D8"/>
    <w:rsid w:val="00095799"/>
    <w:rsid w:val="000B2767"/>
    <w:rsid w:val="000B3015"/>
    <w:rsid w:val="000B5D14"/>
    <w:rsid w:val="000D0E34"/>
    <w:rsid w:val="000E05AF"/>
    <w:rsid w:val="001220E3"/>
    <w:rsid w:val="00122F8F"/>
    <w:rsid w:val="001272C0"/>
    <w:rsid w:val="0013344D"/>
    <w:rsid w:val="00161631"/>
    <w:rsid w:val="001675AA"/>
    <w:rsid w:val="00171805"/>
    <w:rsid w:val="00181833"/>
    <w:rsid w:val="0018402A"/>
    <w:rsid w:val="001A08D6"/>
    <w:rsid w:val="001B33C7"/>
    <w:rsid w:val="001B3ADF"/>
    <w:rsid w:val="001D456F"/>
    <w:rsid w:val="001D6CC0"/>
    <w:rsid w:val="001D7A6D"/>
    <w:rsid w:val="001E45CC"/>
    <w:rsid w:val="001E578D"/>
    <w:rsid w:val="001E6476"/>
    <w:rsid w:val="001F0B83"/>
    <w:rsid w:val="00203D42"/>
    <w:rsid w:val="00223202"/>
    <w:rsid w:val="002406DC"/>
    <w:rsid w:val="00244FF4"/>
    <w:rsid w:val="00257DC0"/>
    <w:rsid w:val="00280886"/>
    <w:rsid w:val="00285A21"/>
    <w:rsid w:val="002A3624"/>
    <w:rsid w:val="002A66A0"/>
    <w:rsid w:val="002B4782"/>
    <w:rsid w:val="002B5FB6"/>
    <w:rsid w:val="002C3735"/>
    <w:rsid w:val="002E134A"/>
    <w:rsid w:val="00304962"/>
    <w:rsid w:val="003309BC"/>
    <w:rsid w:val="003511FB"/>
    <w:rsid w:val="003660E5"/>
    <w:rsid w:val="00387A13"/>
    <w:rsid w:val="003A0578"/>
    <w:rsid w:val="003B15A2"/>
    <w:rsid w:val="003C1D39"/>
    <w:rsid w:val="003E5567"/>
    <w:rsid w:val="003F5C39"/>
    <w:rsid w:val="004332E5"/>
    <w:rsid w:val="00436285"/>
    <w:rsid w:val="00454D92"/>
    <w:rsid w:val="00455AAF"/>
    <w:rsid w:val="00464AEE"/>
    <w:rsid w:val="00480141"/>
    <w:rsid w:val="004C0390"/>
    <w:rsid w:val="004D12F8"/>
    <w:rsid w:val="004E053D"/>
    <w:rsid w:val="004E5385"/>
    <w:rsid w:val="00501A36"/>
    <w:rsid w:val="005116B1"/>
    <w:rsid w:val="00515532"/>
    <w:rsid w:val="005227E0"/>
    <w:rsid w:val="005259F0"/>
    <w:rsid w:val="00526A43"/>
    <w:rsid w:val="00527902"/>
    <w:rsid w:val="00536292"/>
    <w:rsid w:val="00543E71"/>
    <w:rsid w:val="00550A85"/>
    <w:rsid w:val="00556782"/>
    <w:rsid w:val="00563681"/>
    <w:rsid w:val="00566E9F"/>
    <w:rsid w:val="00574333"/>
    <w:rsid w:val="005932BF"/>
    <w:rsid w:val="005B39A1"/>
    <w:rsid w:val="005D792C"/>
    <w:rsid w:val="005E1A46"/>
    <w:rsid w:val="005E27F1"/>
    <w:rsid w:val="005E40D5"/>
    <w:rsid w:val="005E6919"/>
    <w:rsid w:val="005F0536"/>
    <w:rsid w:val="005F796F"/>
    <w:rsid w:val="00625CD6"/>
    <w:rsid w:val="00627C91"/>
    <w:rsid w:val="00631A8A"/>
    <w:rsid w:val="006351BE"/>
    <w:rsid w:val="006364C0"/>
    <w:rsid w:val="00651776"/>
    <w:rsid w:val="00660CFD"/>
    <w:rsid w:val="00673E1F"/>
    <w:rsid w:val="00693ADC"/>
    <w:rsid w:val="00695ACD"/>
    <w:rsid w:val="006D5EC1"/>
    <w:rsid w:val="006D7622"/>
    <w:rsid w:val="006E2AA5"/>
    <w:rsid w:val="00702985"/>
    <w:rsid w:val="00713697"/>
    <w:rsid w:val="00714F67"/>
    <w:rsid w:val="00750C26"/>
    <w:rsid w:val="007515D6"/>
    <w:rsid w:val="00756FA5"/>
    <w:rsid w:val="0076609C"/>
    <w:rsid w:val="007660E9"/>
    <w:rsid w:val="007721F1"/>
    <w:rsid w:val="00774DF4"/>
    <w:rsid w:val="00796BAC"/>
    <w:rsid w:val="00796C69"/>
    <w:rsid w:val="007A7FDE"/>
    <w:rsid w:val="007C1D9F"/>
    <w:rsid w:val="007C378D"/>
    <w:rsid w:val="007D7C83"/>
    <w:rsid w:val="007F1B7F"/>
    <w:rsid w:val="007F55C3"/>
    <w:rsid w:val="007F6F96"/>
    <w:rsid w:val="00801583"/>
    <w:rsid w:val="008410B6"/>
    <w:rsid w:val="008514EE"/>
    <w:rsid w:val="00855FF7"/>
    <w:rsid w:val="00870C65"/>
    <w:rsid w:val="00871D16"/>
    <w:rsid w:val="00874E0F"/>
    <w:rsid w:val="00890057"/>
    <w:rsid w:val="008967D6"/>
    <w:rsid w:val="008C22EA"/>
    <w:rsid w:val="008C6282"/>
    <w:rsid w:val="008D6171"/>
    <w:rsid w:val="008E14AF"/>
    <w:rsid w:val="008E6131"/>
    <w:rsid w:val="008E6E2C"/>
    <w:rsid w:val="00910BAE"/>
    <w:rsid w:val="00916289"/>
    <w:rsid w:val="00917020"/>
    <w:rsid w:val="009301E3"/>
    <w:rsid w:val="00972466"/>
    <w:rsid w:val="00981F8C"/>
    <w:rsid w:val="009B170B"/>
    <w:rsid w:val="009B529A"/>
    <w:rsid w:val="009B5D52"/>
    <w:rsid w:val="009C0C87"/>
    <w:rsid w:val="009C6D87"/>
    <w:rsid w:val="009D69EE"/>
    <w:rsid w:val="009E3DAD"/>
    <w:rsid w:val="009F4E67"/>
    <w:rsid w:val="009F74C0"/>
    <w:rsid w:val="00A00FF4"/>
    <w:rsid w:val="00A026B1"/>
    <w:rsid w:val="00A167AE"/>
    <w:rsid w:val="00A36BFE"/>
    <w:rsid w:val="00A47FAD"/>
    <w:rsid w:val="00A5397A"/>
    <w:rsid w:val="00A550F3"/>
    <w:rsid w:val="00A61BC4"/>
    <w:rsid w:val="00A67AC7"/>
    <w:rsid w:val="00A74D67"/>
    <w:rsid w:val="00A83F8F"/>
    <w:rsid w:val="00AA39B5"/>
    <w:rsid w:val="00AB0A67"/>
    <w:rsid w:val="00AB3153"/>
    <w:rsid w:val="00AB4F50"/>
    <w:rsid w:val="00AB7920"/>
    <w:rsid w:val="00AC094F"/>
    <w:rsid w:val="00AD5336"/>
    <w:rsid w:val="00AE55CA"/>
    <w:rsid w:val="00B301C7"/>
    <w:rsid w:val="00B32EFC"/>
    <w:rsid w:val="00B33063"/>
    <w:rsid w:val="00B34ED7"/>
    <w:rsid w:val="00B45574"/>
    <w:rsid w:val="00B56815"/>
    <w:rsid w:val="00B56C8E"/>
    <w:rsid w:val="00B72394"/>
    <w:rsid w:val="00B75B57"/>
    <w:rsid w:val="00B83101"/>
    <w:rsid w:val="00B87C02"/>
    <w:rsid w:val="00BA2227"/>
    <w:rsid w:val="00BA5559"/>
    <w:rsid w:val="00BB1D34"/>
    <w:rsid w:val="00BB3A73"/>
    <w:rsid w:val="00BC468C"/>
    <w:rsid w:val="00BF7E3E"/>
    <w:rsid w:val="00C0191C"/>
    <w:rsid w:val="00C1648A"/>
    <w:rsid w:val="00C203AB"/>
    <w:rsid w:val="00C30A8D"/>
    <w:rsid w:val="00C37E7B"/>
    <w:rsid w:val="00C700B8"/>
    <w:rsid w:val="00C82ADF"/>
    <w:rsid w:val="00C856DC"/>
    <w:rsid w:val="00C87245"/>
    <w:rsid w:val="00C92758"/>
    <w:rsid w:val="00CB10C2"/>
    <w:rsid w:val="00CB2AAA"/>
    <w:rsid w:val="00CE674A"/>
    <w:rsid w:val="00CE6D96"/>
    <w:rsid w:val="00D006DA"/>
    <w:rsid w:val="00D05353"/>
    <w:rsid w:val="00D2300B"/>
    <w:rsid w:val="00D505CE"/>
    <w:rsid w:val="00D50E2F"/>
    <w:rsid w:val="00D7046C"/>
    <w:rsid w:val="00D74A05"/>
    <w:rsid w:val="00DC1EDD"/>
    <w:rsid w:val="00DD0B2A"/>
    <w:rsid w:val="00DD396D"/>
    <w:rsid w:val="00DE3658"/>
    <w:rsid w:val="00E170F4"/>
    <w:rsid w:val="00E37AEF"/>
    <w:rsid w:val="00E47916"/>
    <w:rsid w:val="00E546A3"/>
    <w:rsid w:val="00E56ED0"/>
    <w:rsid w:val="00E60D00"/>
    <w:rsid w:val="00EA3CD4"/>
    <w:rsid w:val="00EA4E2D"/>
    <w:rsid w:val="00EB31A9"/>
    <w:rsid w:val="00EC1954"/>
    <w:rsid w:val="00EE350F"/>
    <w:rsid w:val="00EE6962"/>
    <w:rsid w:val="00EF1383"/>
    <w:rsid w:val="00F341F9"/>
    <w:rsid w:val="00F56E6A"/>
    <w:rsid w:val="00F56FBB"/>
    <w:rsid w:val="00F641BA"/>
    <w:rsid w:val="00F64C15"/>
    <w:rsid w:val="00F9323D"/>
    <w:rsid w:val="00F94BCB"/>
    <w:rsid w:val="00FA3887"/>
    <w:rsid w:val="00FB5672"/>
    <w:rsid w:val="00FF2FAE"/>
    <w:rsid w:val="00FF4F4F"/>
    <w:rsid w:val="017165A3"/>
    <w:rsid w:val="022C4D6D"/>
    <w:rsid w:val="0233506B"/>
    <w:rsid w:val="02434ADF"/>
    <w:rsid w:val="025B073A"/>
    <w:rsid w:val="028561C8"/>
    <w:rsid w:val="02A6627A"/>
    <w:rsid w:val="03174A45"/>
    <w:rsid w:val="03865715"/>
    <w:rsid w:val="038C5078"/>
    <w:rsid w:val="03B56C8B"/>
    <w:rsid w:val="04A55990"/>
    <w:rsid w:val="04B634CE"/>
    <w:rsid w:val="04E74559"/>
    <w:rsid w:val="055E0506"/>
    <w:rsid w:val="05613626"/>
    <w:rsid w:val="05B903DF"/>
    <w:rsid w:val="06251831"/>
    <w:rsid w:val="06FE1158"/>
    <w:rsid w:val="076E7DED"/>
    <w:rsid w:val="079663CB"/>
    <w:rsid w:val="07D3465A"/>
    <w:rsid w:val="087F6039"/>
    <w:rsid w:val="08B455DB"/>
    <w:rsid w:val="08D659DF"/>
    <w:rsid w:val="093B678B"/>
    <w:rsid w:val="096F26FE"/>
    <w:rsid w:val="09A31A91"/>
    <w:rsid w:val="09CD700C"/>
    <w:rsid w:val="09D54729"/>
    <w:rsid w:val="09F66A74"/>
    <w:rsid w:val="0A9034EF"/>
    <w:rsid w:val="0AAC6742"/>
    <w:rsid w:val="0AD07427"/>
    <w:rsid w:val="0AD734BC"/>
    <w:rsid w:val="0B45055E"/>
    <w:rsid w:val="0B544941"/>
    <w:rsid w:val="0B6F20A1"/>
    <w:rsid w:val="0B7B27EB"/>
    <w:rsid w:val="0C071E9B"/>
    <w:rsid w:val="0C3C5686"/>
    <w:rsid w:val="0C860199"/>
    <w:rsid w:val="0CB41DD3"/>
    <w:rsid w:val="0D06322B"/>
    <w:rsid w:val="0D3065AC"/>
    <w:rsid w:val="0DC33E1F"/>
    <w:rsid w:val="0DC91728"/>
    <w:rsid w:val="0E011614"/>
    <w:rsid w:val="0E452709"/>
    <w:rsid w:val="0ECA37CF"/>
    <w:rsid w:val="0FFC16D2"/>
    <w:rsid w:val="10212282"/>
    <w:rsid w:val="10375BCD"/>
    <w:rsid w:val="1081095E"/>
    <w:rsid w:val="10B653E8"/>
    <w:rsid w:val="10CB4FA5"/>
    <w:rsid w:val="11A6265D"/>
    <w:rsid w:val="11BF1EEE"/>
    <w:rsid w:val="11CD7516"/>
    <w:rsid w:val="1280034B"/>
    <w:rsid w:val="12EC3C3F"/>
    <w:rsid w:val="12ED3F7E"/>
    <w:rsid w:val="13CD6136"/>
    <w:rsid w:val="14105813"/>
    <w:rsid w:val="14251FA9"/>
    <w:rsid w:val="14966439"/>
    <w:rsid w:val="14E24989"/>
    <w:rsid w:val="14E615F0"/>
    <w:rsid w:val="15021DAE"/>
    <w:rsid w:val="150C4E7F"/>
    <w:rsid w:val="15121A13"/>
    <w:rsid w:val="155225EF"/>
    <w:rsid w:val="15530C02"/>
    <w:rsid w:val="15611DB6"/>
    <w:rsid w:val="157062A6"/>
    <w:rsid w:val="15E50C87"/>
    <w:rsid w:val="16637839"/>
    <w:rsid w:val="169D3F2A"/>
    <w:rsid w:val="17081022"/>
    <w:rsid w:val="170B46AF"/>
    <w:rsid w:val="177505B2"/>
    <w:rsid w:val="178B69C7"/>
    <w:rsid w:val="17950DBE"/>
    <w:rsid w:val="17B87FC6"/>
    <w:rsid w:val="17E0675A"/>
    <w:rsid w:val="181B2A15"/>
    <w:rsid w:val="18E669BC"/>
    <w:rsid w:val="197D433A"/>
    <w:rsid w:val="1A6C33F1"/>
    <w:rsid w:val="1B225601"/>
    <w:rsid w:val="1B4E053D"/>
    <w:rsid w:val="1B5E714B"/>
    <w:rsid w:val="1B7D5122"/>
    <w:rsid w:val="1B8C6A08"/>
    <w:rsid w:val="1C3C6118"/>
    <w:rsid w:val="1C604977"/>
    <w:rsid w:val="1C945359"/>
    <w:rsid w:val="1C9A2454"/>
    <w:rsid w:val="1CCD26DC"/>
    <w:rsid w:val="1CE6187F"/>
    <w:rsid w:val="1E0939BE"/>
    <w:rsid w:val="1E404FA6"/>
    <w:rsid w:val="1E5229CF"/>
    <w:rsid w:val="1EA077C4"/>
    <w:rsid w:val="1EE766C1"/>
    <w:rsid w:val="1F064708"/>
    <w:rsid w:val="1FA7122D"/>
    <w:rsid w:val="1FE31C5D"/>
    <w:rsid w:val="201D3BB9"/>
    <w:rsid w:val="20B73AAF"/>
    <w:rsid w:val="20D90C13"/>
    <w:rsid w:val="2142385E"/>
    <w:rsid w:val="2221397E"/>
    <w:rsid w:val="22972E88"/>
    <w:rsid w:val="229E6F05"/>
    <w:rsid w:val="22F67998"/>
    <w:rsid w:val="237D22DE"/>
    <w:rsid w:val="23B03D16"/>
    <w:rsid w:val="23CF0804"/>
    <w:rsid w:val="24603455"/>
    <w:rsid w:val="246E3C70"/>
    <w:rsid w:val="247F3748"/>
    <w:rsid w:val="249573AC"/>
    <w:rsid w:val="24A31589"/>
    <w:rsid w:val="24C94ADD"/>
    <w:rsid w:val="24DA6D9B"/>
    <w:rsid w:val="2512425D"/>
    <w:rsid w:val="252A7BBF"/>
    <w:rsid w:val="25B64B06"/>
    <w:rsid w:val="26336115"/>
    <w:rsid w:val="26564D76"/>
    <w:rsid w:val="265958A7"/>
    <w:rsid w:val="26F13203"/>
    <w:rsid w:val="27015FF0"/>
    <w:rsid w:val="270F2553"/>
    <w:rsid w:val="27425C10"/>
    <w:rsid w:val="27485FB0"/>
    <w:rsid w:val="274D725B"/>
    <w:rsid w:val="274F4B53"/>
    <w:rsid w:val="27662550"/>
    <w:rsid w:val="279B0535"/>
    <w:rsid w:val="27B645AD"/>
    <w:rsid w:val="27F47E3C"/>
    <w:rsid w:val="281D1F10"/>
    <w:rsid w:val="28957A36"/>
    <w:rsid w:val="28983D5F"/>
    <w:rsid w:val="28CF0EEA"/>
    <w:rsid w:val="29037465"/>
    <w:rsid w:val="291A50EB"/>
    <w:rsid w:val="29855700"/>
    <w:rsid w:val="29AC627F"/>
    <w:rsid w:val="29F44B01"/>
    <w:rsid w:val="29F52B57"/>
    <w:rsid w:val="2A09409A"/>
    <w:rsid w:val="2A0960B3"/>
    <w:rsid w:val="2A260C0A"/>
    <w:rsid w:val="2AC02B0A"/>
    <w:rsid w:val="2BC82FB3"/>
    <w:rsid w:val="2BD03C50"/>
    <w:rsid w:val="2BE8052A"/>
    <w:rsid w:val="2C11450A"/>
    <w:rsid w:val="2C180E2F"/>
    <w:rsid w:val="2C401AB5"/>
    <w:rsid w:val="2CA479C7"/>
    <w:rsid w:val="2CB03CF2"/>
    <w:rsid w:val="2CD178D3"/>
    <w:rsid w:val="2CFA5CAE"/>
    <w:rsid w:val="2D056B4E"/>
    <w:rsid w:val="2D102E56"/>
    <w:rsid w:val="2D117CDB"/>
    <w:rsid w:val="2D1A05A2"/>
    <w:rsid w:val="2D56276B"/>
    <w:rsid w:val="2DBC28D2"/>
    <w:rsid w:val="2DD97CBF"/>
    <w:rsid w:val="2E3F651E"/>
    <w:rsid w:val="2E7A3980"/>
    <w:rsid w:val="2EA901E0"/>
    <w:rsid w:val="2ED3614F"/>
    <w:rsid w:val="2F1D14C4"/>
    <w:rsid w:val="2FDD076F"/>
    <w:rsid w:val="2FF64EFB"/>
    <w:rsid w:val="300B6820"/>
    <w:rsid w:val="30205045"/>
    <w:rsid w:val="30482DC3"/>
    <w:rsid w:val="30710438"/>
    <w:rsid w:val="326147FA"/>
    <w:rsid w:val="32E37AC1"/>
    <w:rsid w:val="32E95203"/>
    <w:rsid w:val="335E0315"/>
    <w:rsid w:val="338621B6"/>
    <w:rsid w:val="338B727C"/>
    <w:rsid w:val="33E274D6"/>
    <w:rsid w:val="344A3287"/>
    <w:rsid w:val="355D33B5"/>
    <w:rsid w:val="35EF7FAF"/>
    <w:rsid w:val="36C82275"/>
    <w:rsid w:val="37293BE4"/>
    <w:rsid w:val="37DA2240"/>
    <w:rsid w:val="37E81332"/>
    <w:rsid w:val="38582F4D"/>
    <w:rsid w:val="386360D7"/>
    <w:rsid w:val="389304A6"/>
    <w:rsid w:val="389D2263"/>
    <w:rsid w:val="38D7738D"/>
    <w:rsid w:val="38F23F44"/>
    <w:rsid w:val="38F96C2C"/>
    <w:rsid w:val="3986526B"/>
    <w:rsid w:val="39BC23C9"/>
    <w:rsid w:val="39CC0AE1"/>
    <w:rsid w:val="39D853A7"/>
    <w:rsid w:val="39F22EB8"/>
    <w:rsid w:val="39FB30A2"/>
    <w:rsid w:val="3A336A8D"/>
    <w:rsid w:val="3A407784"/>
    <w:rsid w:val="3A9E59E7"/>
    <w:rsid w:val="3ACB4EE7"/>
    <w:rsid w:val="3ACE29C9"/>
    <w:rsid w:val="3B600A64"/>
    <w:rsid w:val="3B6F364E"/>
    <w:rsid w:val="3B9F4879"/>
    <w:rsid w:val="3BBC088F"/>
    <w:rsid w:val="3BF01B05"/>
    <w:rsid w:val="3C345F8F"/>
    <w:rsid w:val="3C501BDA"/>
    <w:rsid w:val="3C712F93"/>
    <w:rsid w:val="3C9B70DA"/>
    <w:rsid w:val="3CEE01BA"/>
    <w:rsid w:val="3D10400A"/>
    <w:rsid w:val="3D162CD0"/>
    <w:rsid w:val="3DEA0685"/>
    <w:rsid w:val="3E0312A7"/>
    <w:rsid w:val="3E19074F"/>
    <w:rsid w:val="3E281EA3"/>
    <w:rsid w:val="3E7F7086"/>
    <w:rsid w:val="3E8078AF"/>
    <w:rsid w:val="3EA306FE"/>
    <w:rsid w:val="3EE9788D"/>
    <w:rsid w:val="3F2819AA"/>
    <w:rsid w:val="3F343312"/>
    <w:rsid w:val="3FB8448E"/>
    <w:rsid w:val="401707DF"/>
    <w:rsid w:val="401F32C6"/>
    <w:rsid w:val="406A7C94"/>
    <w:rsid w:val="41482D4D"/>
    <w:rsid w:val="41CF0796"/>
    <w:rsid w:val="4243008D"/>
    <w:rsid w:val="424729B8"/>
    <w:rsid w:val="429F62F2"/>
    <w:rsid w:val="42DB3F67"/>
    <w:rsid w:val="42E0634F"/>
    <w:rsid w:val="43073E56"/>
    <w:rsid w:val="430F0B46"/>
    <w:rsid w:val="43374642"/>
    <w:rsid w:val="43801456"/>
    <w:rsid w:val="43935E8D"/>
    <w:rsid w:val="43CD27B9"/>
    <w:rsid w:val="43D445C3"/>
    <w:rsid w:val="442A61F9"/>
    <w:rsid w:val="447F5F34"/>
    <w:rsid w:val="44C81A62"/>
    <w:rsid w:val="44ED2CDE"/>
    <w:rsid w:val="44F477A1"/>
    <w:rsid w:val="45071012"/>
    <w:rsid w:val="456C2613"/>
    <w:rsid w:val="45A5705B"/>
    <w:rsid w:val="45A7129E"/>
    <w:rsid w:val="45E6158E"/>
    <w:rsid w:val="460C7AE0"/>
    <w:rsid w:val="462964BB"/>
    <w:rsid w:val="466B6822"/>
    <w:rsid w:val="468C29E0"/>
    <w:rsid w:val="46B02B91"/>
    <w:rsid w:val="473B7AC6"/>
    <w:rsid w:val="47465757"/>
    <w:rsid w:val="47513915"/>
    <w:rsid w:val="47540C1D"/>
    <w:rsid w:val="47913864"/>
    <w:rsid w:val="479A4A55"/>
    <w:rsid w:val="47F23E81"/>
    <w:rsid w:val="48124153"/>
    <w:rsid w:val="481B46A2"/>
    <w:rsid w:val="48543AEB"/>
    <w:rsid w:val="48A605E7"/>
    <w:rsid w:val="48C2532F"/>
    <w:rsid w:val="48E26FDA"/>
    <w:rsid w:val="494307FF"/>
    <w:rsid w:val="4A6F3D1E"/>
    <w:rsid w:val="4A9012A8"/>
    <w:rsid w:val="4AB40344"/>
    <w:rsid w:val="4AEC7719"/>
    <w:rsid w:val="4AF05C9F"/>
    <w:rsid w:val="4B016B75"/>
    <w:rsid w:val="4B156DC3"/>
    <w:rsid w:val="4B2C7F5B"/>
    <w:rsid w:val="4BE53113"/>
    <w:rsid w:val="4C2971B5"/>
    <w:rsid w:val="4C465CB4"/>
    <w:rsid w:val="4C4E41E5"/>
    <w:rsid w:val="4D2F3D38"/>
    <w:rsid w:val="4D3440B9"/>
    <w:rsid w:val="4DBB7F55"/>
    <w:rsid w:val="4DD06347"/>
    <w:rsid w:val="4E9F3A42"/>
    <w:rsid w:val="4EB34540"/>
    <w:rsid w:val="4EE52F76"/>
    <w:rsid w:val="4EFA1AEA"/>
    <w:rsid w:val="4F0744D5"/>
    <w:rsid w:val="4F126A3D"/>
    <w:rsid w:val="4F145E44"/>
    <w:rsid w:val="4F603968"/>
    <w:rsid w:val="4F7214BE"/>
    <w:rsid w:val="4F9A353A"/>
    <w:rsid w:val="500679DA"/>
    <w:rsid w:val="50441C52"/>
    <w:rsid w:val="50492E4D"/>
    <w:rsid w:val="50C279FA"/>
    <w:rsid w:val="51517A15"/>
    <w:rsid w:val="51632C89"/>
    <w:rsid w:val="51C22DDD"/>
    <w:rsid w:val="51F26370"/>
    <w:rsid w:val="52DD0216"/>
    <w:rsid w:val="532D0967"/>
    <w:rsid w:val="534D4A0F"/>
    <w:rsid w:val="5380603A"/>
    <w:rsid w:val="53C63DEF"/>
    <w:rsid w:val="5412351B"/>
    <w:rsid w:val="54856119"/>
    <w:rsid w:val="54F64B26"/>
    <w:rsid w:val="550C7C0F"/>
    <w:rsid w:val="55304CD1"/>
    <w:rsid w:val="55CD650F"/>
    <w:rsid w:val="55DD49DD"/>
    <w:rsid w:val="55FF5326"/>
    <w:rsid w:val="56297689"/>
    <w:rsid w:val="562D6FD0"/>
    <w:rsid w:val="564C083F"/>
    <w:rsid w:val="56613CC2"/>
    <w:rsid w:val="5669747B"/>
    <w:rsid w:val="566F0AC5"/>
    <w:rsid w:val="567D4F3B"/>
    <w:rsid w:val="56EB586C"/>
    <w:rsid w:val="56FC7DB5"/>
    <w:rsid w:val="57926493"/>
    <w:rsid w:val="57BD167E"/>
    <w:rsid w:val="57D45753"/>
    <w:rsid w:val="588D494A"/>
    <w:rsid w:val="58985913"/>
    <w:rsid w:val="58C552CC"/>
    <w:rsid w:val="597D3716"/>
    <w:rsid w:val="59A97A57"/>
    <w:rsid w:val="59B0450E"/>
    <w:rsid w:val="59C01E94"/>
    <w:rsid w:val="59E2226C"/>
    <w:rsid w:val="59F43045"/>
    <w:rsid w:val="59FE6CE7"/>
    <w:rsid w:val="5A53607C"/>
    <w:rsid w:val="5A7342C6"/>
    <w:rsid w:val="5AEB0114"/>
    <w:rsid w:val="5AFA26BA"/>
    <w:rsid w:val="5C213E6A"/>
    <w:rsid w:val="5C461ABA"/>
    <w:rsid w:val="5C506863"/>
    <w:rsid w:val="5C667CE1"/>
    <w:rsid w:val="5DA64BE6"/>
    <w:rsid w:val="5DDD1DC8"/>
    <w:rsid w:val="5E12555A"/>
    <w:rsid w:val="5E4B64A2"/>
    <w:rsid w:val="5E766D42"/>
    <w:rsid w:val="5EA216E5"/>
    <w:rsid w:val="5EC538A6"/>
    <w:rsid w:val="5ED957BB"/>
    <w:rsid w:val="5F5948AA"/>
    <w:rsid w:val="5F913756"/>
    <w:rsid w:val="5FB12F47"/>
    <w:rsid w:val="5FFC6376"/>
    <w:rsid w:val="6090188F"/>
    <w:rsid w:val="60BC37C2"/>
    <w:rsid w:val="60C81731"/>
    <w:rsid w:val="60F55058"/>
    <w:rsid w:val="610374D6"/>
    <w:rsid w:val="614E5E24"/>
    <w:rsid w:val="61543360"/>
    <w:rsid w:val="62420834"/>
    <w:rsid w:val="62A03C0B"/>
    <w:rsid w:val="62AC129F"/>
    <w:rsid w:val="62D0749D"/>
    <w:rsid w:val="62F47D05"/>
    <w:rsid w:val="631B4419"/>
    <w:rsid w:val="63740B2F"/>
    <w:rsid w:val="637C6701"/>
    <w:rsid w:val="63F4001A"/>
    <w:rsid w:val="64547297"/>
    <w:rsid w:val="64764516"/>
    <w:rsid w:val="64DC151C"/>
    <w:rsid w:val="651C2770"/>
    <w:rsid w:val="65BA47C9"/>
    <w:rsid w:val="66130487"/>
    <w:rsid w:val="666F0ADA"/>
    <w:rsid w:val="669A512F"/>
    <w:rsid w:val="66F87373"/>
    <w:rsid w:val="67376139"/>
    <w:rsid w:val="675831FB"/>
    <w:rsid w:val="676D7E28"/>
    <w:rsid w:val="678B70ED"/>
    <w:rsid w:val="681318F0"/>
    <w:rsid w:val="68A27294"/>
    <w:rsid w:val="68F11994"/>
    <w:rsid w:val="690D6093"/>
    <w:rsid w:val="6919447D"/>
    <w:rsid w:val="69306610"/>
    <w:rsid w:val="69973628"/>
    <w:rsid w:val="69C97119"/>
    <w:rsid w:val="69CB10A4"/>
    <w:rsid w:val="6A125032"/>
    <w:rsid w:val="6A78671F"/>
    <w:rsid w:val="6AB14F99"/>
    <w:rsid w:val="6AE07205"/>
    <w:rsid w:val="6AE95558"/>
    <w:rsid w:val="6B604097"/>
    <w:rsid w:val="6B9D7560"/>
    <w:rsid w:val="6BBB5325"/>
    <w:rsid w:val="6BCB1F50"/>
    <w:rsid w:val="6BCD35C4"/>
    <w:rsid w:val="6BE271E1"/>
    <w:rsid w:val="6C1E0692"/>
    <w:rsid w:val="6C4067CC"/>
    <w:rsid w:val="6D737F1F"/>
    <w:rsid w:val="6D9F06F2"/>
    <w:rsid w:val="6DFB6E3C"/>
    <w:rsid w:val="6E30511B"/>
    <w:rsid w:val="6E3845F4"/>
    <w:rsid w:val="6E891405"/>
    <w:rsid w:val="6ED203E9"/>
    <w:rsid w:val="6ED80C1C"/>
    <w:rsid w:val="6ED8517D"/>
    <w:rsid w:val="6EF6437B"/>
    <w:rsid w:val="6F0F6868"/>
    <w:rsid w:val="6F166622"/>
    <w:rsid w:val="6F200008"/>
    <w:rsid w:val="6F3574A9"/>
    <w:rsid w:val="6F704E01"/>
    <w:rsid w:val="6F92191F"/>
    <w:rsid w:val="70006332"/>
    <w:rsid w:val="70166F54"/>
    <w:rsid w:val="702F724E"/>
    <w:rsid w:val="70766213"/>
    <w:rsid w:val="70C5523F"/>
    <w:rsid w:val="70DA608B"/>
    <w:rsid w:val="70DD59FF"/>
    <w:rsid w:val="70F11A91"/>
    <w:rsid w:val="71452808"/>
    <w:rsid w:val="716A289F"/>
    <w:rsid w:val="716F7C06"/>
    <w:rsid w:val="724C74F4"/>
    <w:rsid w:val="729C2446"/>
    <w:rsid w:val="734A1684"/>
    <w:rsid w:val="73870446"/>
    <w:rsid w:val="73CD7CEB"/>
    <w:rsid w:val="744223A1"/>
    <w:rsid w:val="74A02CB6"/>
    <w:rsid w:val="74A22465"/>
    <w:rsid w:val="752D52C2"/>
    <w:rsid w:val="7535046E"/>
    <w:rsid w:val="757E27D9"/>
    <w:rsid w:val="75A667E1"/>
    <w:rsid w:val="75F02E99"/>
    <w:rsid w:val="76057774"/>
    <w:rsid w:val="765B2727"/>
    <w:rsid w:val="76A67A72"/>
    <w:rsid w:val="76CE31DA"/>
    <w:rsid w:val="76EC1CA6"/>
    <w:rsid w:val="76FE7DC1"/>
    <w:rsid w:val="776242C7"/>
    <w:rsid w:val="77927237"/>
    <w:rsid w:val="78107F9A"/>
    <w:rsid w:val="78A255F1"/>
    <w:rsid w:val="78B2606A"/>
    <w:rsid w:val="78B31E97"/>
    <w:rsid w:val="78CC1402"/>
    <w:rsid w:val="78E57DCF"/>
    <w:rsid w:val="78F7223F"/>
    <w:rsid w:val="78FB07EE"/>
    <w:rsid w:val="79685078"/>
    <w:rsid w:val="797268E8"/>
    <w:rsid w:val="79F646EC"/>
    <w:rsid w:val="7A2913A8"/>
    <w:rsid w:val="7A2B12E4"/>
    <w:rsid w:val="7A614F3D"/>
    <w:rsid w:val="7A9D4612"/>
    <w:rsid w:val="7ADD60CF"/>
    <w:rsid w:val="7BBA6F8D"/>
    <w:rsid w:val="7CB3660F"/>
    <w:rsid w:val="7CF619A2"/>
    <w:rsid w:val="7D3C3D2F"/>
    <w:rsid w:val="7E467B65"/>
    <w:rsid w:val="7E534712"/>
    <w:rsid w:val="7EF72EB1"/>
    <w:rsid w:val="7F705F2C"/>
    <w:rsid w:val="7F8242F2"/>
    <w:rsid w:val="7F8760E2"/>
    <w:rsid w:val="7FAC2FB6"/>
    <w:rsid w:val="7FE8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宋体"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Title"/>
    <w:basedOn w:val="1"/>
    <w:next w:val="1"/>
    <w:link w:val="17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/>
      <w:b/>
      <w:bCs/>
      <w:kern w:val="2"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7">
    <w:name w:val="标题 Char"/>
    <w:basedOn w:val="11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1 Char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Body text|1"/>
    <w:basedOn w:val="1"/>
    <w:qFormat/>
    <w:uiPriority w:val="0"/>
    <w:pPr>
      <w:widowControl w:val="0"/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363CC-EDA6-4E12-8C17-4751A4952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871</Words>
  <Characters>4965</Characters>
  <Lines>41</Lines>
  <Paragraphs>11</Paragraphs>
  <TotalTime>0</TotalTime>
  <ScaleCrop>false</ScaleCrop>
  <LinksUpToDate>false</LinksUpToDate>
  <CharactersWithSpaces>5825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2021-04-12T09:06:00Z</dcterms:created>
  <dc:creator>MXY</dc:creator>
  <cp:lastModifiedBy>Administrator</cp:lastModifiedBy>
  <cp:lastPrinted>2021-04-22T08:11:07Z</cp:lastPrinted>
  <dcterms:modified xsi:type="dcterms:W3CDTF">2021-04-22T08:11:13Z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A4EF67B97FE84AE9A0B5AEAE60D873FF</vt:lpwstr>
  </property>
</Properties>
</file>