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3A" w:rsidRDefault="00A21842" w:rsidP="00C67CF5">
      <w:pPr>
        <w:pStyle w:val="a5"/>
        <w:spacing w:before="0" w:beforeAutospacing="0" w:after="0" w:afterAutospacing="0" w:line="600" w:lineRule="exact"/>
        <w:rPr>
          <w:rFonts w:ascii="黑体" w:eastAsia="黑体" w:hAnsi="黑体" w:cs="黑体"/>
          <w:color w:val="000000"/>
          <w:sz w:val="32"/>
          <w:szCs w:val="32"/>
        </w:rPr>
      </w:pPr>
      <w:r>
        <w:rPr>
          <w:rFonts w:ascii="黑体" w:eastAsia="黑体" w:hAnsi="黑体" w:cs="黑体" w:hint="eastAsia"/>
          <w:color w:val="000000"/>
          <w:sz w:val="32"/>
          <w:szCs w:val="32"/>
        </w:rPr>
        <w:t>附件9</w:t>
      </w:r>
    </w:p>
    <w:p w:rsidR="00EC353A" w:rsidRDefault="00EC353A" w:rsidP="00C67CF5">
      <w:pPr>
        <w:pStyle w:val="a5"/>
        <w:spacing w:before="0" w:beforeAutospacing="0" w:after="0" w:afterAutospacing="0" w:line="600" w:lineRule="exact"/>
        <w:rPr>
          <w:rFonts w:ascii="黑体" w:eastAsia="黑体" w:hAnsi="黑体" w:cs="黑体"/>
          <w:color w:val="000000"/>
          <w:sz w:val="32"/>
          <w:szCs w:val="32"/>
        </w:rPr>
      </w:pPr>
    </w:p>
    <w:p w:rsidR="00EC353A" w:rsidRDefault="00A21842" w:rsidP="00C67CF5">
      <w:pPr>
        <w:pStyle w:val="a5"/>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内蒙古自治区2021年中央财政废旧地膜</w:t>
      </w:r>
    </w:p>
    <w:p w:rsidR="00EC353A" w:rsidRDefault="00A21842" w:rsidP="00C67CF5">
      <w:pPr>
        <w:pStyle w:val="a5"/>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回收利用项目实施方案</w:t>
      </w:r>
    </w:p>
    <w:p w:rsidR="00EC353A" w:rsidRDefault="00EC353A" w:rsidP="00C67CF5">
      <w:pPr>
        <w:adjustRightInd w:val="0"/>
        <w:snapToGrid w:val="0"/>
        <w:spacing w:line="600" w:lineRule="exact"/>
        <w:rPr>
          <w:rFonts w:asciiTheme="majorEastAsia" w:eastAsiaTheme="majorEastAsia" w:hAnsiTheme="majorEastAsia" w:cstheme="majorEastAsia"/>
          <w:sz w:val="44"/>
          <w:szCs w:val="44"/>
        </w:rPr>
      </w:pP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根据《财政部关于提前下达2021年农业相关转移支付资金预算的通知》（</w:t>
      </w:r>
      <w:bookmarkStart w:id="0" w:name="app_file"/>
      <w:r w:rsidR="006C6B2C">
        <w:rPr>
          <w:rFonts w:ascii="仿宋_GB2312" w:eastAsia="仿宋_GB2312" w:hAnsi="仿宋" w:hint="eastAsia"/>
          <w:sz w:val="32"/>
          <w:szCs w:val="32"/>
        </w:rPr>
        <w:fldChar w:fldCharType="begin"/>
      </w:r>
      <w:r>
        <w:rPr>
          <w:rFonts w:ascii="仿宋_GB2312" w:eastAsia="仿宋_GB2312" w:hAnsi="仿宋" w:hint="eastAsia"/>
          <w:sz w:val="32"/>
          <w:szCs w:val="32"/>
        </w:rPr>
        <w:instrText xml:space="preserve"> HYPERLINK "http://www.moa.gov.cn/zwllm/ghjh/201705/P020170518362119373187.ceb" \t "_blank"</w:instrText>
      </w:r>
      <w:r w:rsidR="006C6B2C">
        <w:rPr>
          <w:rFonts w:ascii="仿宋_GB2312" w:eastAsia="仿宋_GB2312" w:hAnsi="仿宋" w:hint="eastAsia"/>
          <w:sz w:val="32"/>
          <w:szCs w:val="32"/>
        </w:rPr>
        <w:fldChar w:fldCharType="separate"/>
      </w:r>
      <w:r>
        <w:rPr>
          <w:rFonts w:ascii="仿宋_GB2312" w:eastAsia="仿宋_GB2312" w:hAnsi="仿宋" w:hint="eastAsia"/>
          <w:sz w:val="32"/>
          <w:szCs w:val="32"/>
        </w:rPr>
        <w:t>财农〔2020〕90号</w:t>
      </w:r>
      <w:r w:rsidR="006C6B2C">
        <w:rPr>
          <w:rFonts w:ascii="仿宋_GB2312" w:eastAsia="仿宋_GB2312" w:hAnsi="仿宋" w:hint="eastAsia"/>
          <w:sz w:val="32"/>
          <w:szCs w:val="32"/>
        </w:rPr>
        <w:fldChar w:fldCharType="end"/>
      </w:r>
      <w:bookmarkEnd w:id="0"/>
      <w:r>
        <w:rPr>
          <w:rFonts w:ascii="仿宋_GB2312" w:eastAsia="仿宋_GB2312" w:hAnsi="仿宋" w:hint="eastAsia"/>
          <w:sz w:val="32"/>
          <w:szCs w:val="32"/>
        </w:rPr>
        <w:t>）和《财政部 农业农村部关于修订印发农业相关转移支付资金管理办法的通知》（</w:t>
      </w:r>
      <w:hyperlink r:id="rId9" w:tgtFrame="_blank" w:history="1">
        <w:r>
          <w:rPr>
            <w:rFonts w:ascii="仿宋_GB2312" w:eastAsia="仿宋_GB2312" w:hAnsi="仿宋" w:hint="eastAsia"/>
            <w:sz w:val="32"/>
            <w:szCs w:val="32"/>
          </w:rPr>
          <w:t>财农〔2020〕10号</w:t>
        </w:r>
      </w:hyperlink>
      <w:r>
        <w:rPr>
          <w:rFonts w:ascii="仿宋_GB2312" w:eastAsia="仿宋_GB2312" w:hAnsi="仿宋" w:hint="eastAsia"/>
          <w:sz w:val="32"/>
          <w:szCs w:val="32"/>
        </w:rPr>
        <w:t>）总体要求，为组织实施好我区废旧地膜回收利用示范县项目，结合我区实际，制定本方案。</w:t>
      </w:r>
    </w:p>
    <w:p w:rsidR="00EC353A" w:rsidRDefault="00A21842" w:rsidP="00C67CF5">
      <w:pPr>
        <w:adjustRightInd w:val="0"/>
        <w:snapToGrid w:val="0"/>
        <w:spacing w:line="600" w:lineRule="exact"/>
        <w:ind w:left="640" w:firstLine="200"/>
        <w:rPr>
          <w:rFonts w:ascii="黑体" w:eastAsia="黑体" w:hAnsi="黑体" w:cs="黑体"/>
          <w:sz w:val="32"/>
          <w:szCs w:val="32"/>
        </w:rPr>
      </w:pPr>
      <w:r>
        <w:rPr>
          <w:rFonts w:ascii="黑体" w:eastAsia="黑体" w:hAnsi="黑体" w:cs="黑体" w:hint="eastAsia"/>
          <w:sz w:val="32"/>
          <w:szCs w:val="32"/>
        </w:rPr>
        <w:t>一、总体思路</w:t>
      </w: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以习近平生态文明思想为指导，全面贯彻党的十九届五中全会精神，认真落实中央一号文件关于加强农膜污染治理的要求，紧密围绕</w:t>
      </w:r>
      <w:r>
        <w:rPr>
          <w:rFonts w:ascii="仿宋_GB2312" w:eastAsia="仿宋_GB2312" w:hAnsi="仿宋" w:hint="eastAsia"/>
          <w:color w:val="000000" w:themeColor="text1"/>
          <w:sz w:val="32"/>
          <w:szCs w:val="32"/>
        </w:rPr>
        <w:t>《农业高质量发展三年行动方案（2020—2022年）》</w:t>
      </w:r>
      <w:r>
        <w:rPr>
          <w:rFonts w:ascii="仿宋_GB2312" w:eastAsia="仿宋_GB2312" w:hAnsi="仿宋" w:hint="eastAsia"/>
          <w:sz w:val="32"/>
          <w:szCs w:val="32"/>
        </w:rPr>
        <w:t>（内政办〔2020〕37号）建设内容，按照政府扶持、市场运作、</w:t>
      </w:r>
      <w:r>
        <w:rPr>
          <w:rFonts w:ascii="仿宋_GB2312" w:eastAsia="仿宋_GB2312" w:hAnsi="仿宋" w:hint="eastAsia"/>
          <w:color w:val="000000" w:themeColor="text1"/>
          <w:sz w:val="32"/>
          <w:szCs w:val="32"/>
        </w:rPr>
        <w:t>农民参与的思路，</w:t>
      </w:r>
      <w:r>
        <w:rPr>
          <w:rFonts w:ascii="仿宋_GB2312" w:eastAsia="仿宋_GB2312" w:hAnsi="仿宋" w:hint="eastAsia"/>
          <w:sz w:val="32"/>
          <w:szCs w:val="32"/>
        </w:rPr>
        <w:t>坚持法规约束与政策引导并举，标准地膜使用与旧膜回收并重，试点引领与制度创新并进，以防为主、防治结合、因地制宜、分类施策，继续在全区范围内选取15个覆膜重点旗县</w:t>
      </w:r>
      <w:r>
        <w:rPr>
          <w:rFonts w:ascii="仿宋_GB2312" w:eastAsia="仿宋_GB2312" w:hAnsi="仿宋" w:hint="eastAsia"/>
          <w:color w:val="000000" w:themeColor="text1"/>
          <w:sz w:val="32"/>
          <w:szCs w:val="32"/>
        </w:rPr>
        <w:t>开展废旧地膜回收处理利用示范县建设</w:t>
      </w:r>
      <w:r>
        <w:rPr>
          <w:rFonts w:ascii="仿宋_GB2312" w:eastAsia="仿宋_GB2312" w:hAnsi="仿宋" w:hint="eastAsia"/>
          <w:sz w:val="32"/>
          <w:szCs w:val="32"/>
        </w:rPr>
        <w:t>，在3个旗县开展农膜回收区域补偿制度和绿色发展综合试点，在7个旗县开展全生物降解地膜试验示范，通过引领带动，提升全区回收处理利用</w:t>
      </w:r>
      <w:r>
        <w:rPr>
          <w:rFonts w:ascii="仿宋_GB2312" w:eastAsia="仿宋_GB2312" w:hAnsi="仿宋" w:hint="eastAsia"/>
          <w:sz w:val="32"/>
          <w:szCs w:val="32"/>
        </w:rPr>
        <w:lastRenderedPageBreak/>
        <w:t>水平，有效防治地膜残留污染，促进农业绿色发展。</w:t>
      </w:r>
    </w:p>
    <w:p w:rsidR="00EC353A" w:rsidRDefault="00A21842" w:rsidP="00C67CF5">
      <w:pPr>
        <w:adjustRightInd w:val="0"/>
        <w:snapToGrid w:val="0"/>
        <w:spacing w:line="600" w:lineRule="exact"/>
        <w:ind w:firstLineChars="200" w:firstLine="640"/>
        <w:outlineLvl w:val="0"/>
        <w:rPr>
          <w:rFonts w:eastAsia="黑体"/>
          <w:sz w:val="32"/>
          <w:szCs w:val="32"/>
        </w:rPr>
      </w:pPr>
      <w:r>
        <w:rPr>
          <w:rFonts w:eastAsia="黑体" w:hint="eastAsia"/>
          <w:sz w:val="32"/>
          <w:szCs w:val="32"/>
        </w:rPr>
        <w:t>二</w:t>
      </w:r>
      <w:r>
        <w:rPr>
          <w:rFonts w:eastAsia="黑体"/>
          <w:sz w:val="32"/>
          <w:szCs w:val="32"/>
        </w:rPr>
        <w:t>、</w:t>
      </w:r>
      <w:r>
        <w:rPr>
          <w:rFonts w:eastAsia="黑体" w:hint="eastAsia"/>
          <w:sz w:val="32"/>
          <w:szCs w:val="32"/>
        </w:rPr>
        <w:t>基本原则</w:t>
      </w:r>
      <w:r>
        <w:rPr>
          <w:rFonts w:ascii="仿宋_GB2312" w:eastAsia="仿宋_GB2312" w:hAnsi="仿宋" w:hint="eastAsia"/>
          <w:sz w:val="32"/>
          <w:szCs w:val="32"/>
        </w:rPr>
        <w:t xml:space="preserve"> </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方正楷体_GBK" w:cs="方正楷体_GBK" w:hint="eastAsia"/>
          <w:bCs/>
          <w:kern w:val="0"/>
          <w:sz w:val="32"/>
          <w:szCs w:val="32"/>
          <w:lang w:val="zh-CN"/>
        </w:rPr>
        <w:t>（一）统筹安排，分区治理</w:t>
      </w: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根据不同区域自然条件、资源禀赋和地膜使用特点，</w:t>
      </w:r>
      <w:r>
        <w:rPr>
          <w:rFonts w:ascii="仿宋_GB2312" w:eastAsia="仿宋_GB2312" w:hAnsi="仿宋" w:hint="eastAsia"/>
          <w:color w:val="000000" w:themeColor="text1"/>
          <w:sz w:val="32"/>
          <w:szCs w:val="32"/>
        </w:rPr>
        <w:t>统筹考虑化肥减量增效工作</w:t>
      </w:r>
      <w:r>
        <w:rPr>
          <w:rFonts w:ascii="仿宋_GB2312" w:eastAsia="仿宋_GB2312" w:hAnsi="仿宋" w:hint="eastAsia"/>
          <w:sz w:val="32"/>
          <w:szCs w:val="32"/>
        </w:rPr>
        <w:t>，在适宜区优先减量使用地膜，在必须覆膜地区重点解决废旧地膜回收利用</w:t>
      </w:r>
      <w:r>
        <w:rPr>
          <w:rFonts w:ascii="仿宋_GB2312" w:eastAsia="仿宋_GB2312" w:hAnsi="仿宋" w:hint="eastAsia"/>
          <w:color w:val="000000" w:themeColor="text1"/>
          <w:sz w:val="32"/>
          <w:szCs w:val="32"/>
        </w:rPr>
        <w:t>处理</w:t>
      </w:r>
      <w:r>
        <w:rPr>
          <w:rFonts w:ascii="仿宋_GB2312" w:eastAsia="仿宋_GB2312" w:hAnsi="仿宋" w:hint="eastAsia"/>
          <w:sz w:val="32"/>
          <w:szCs w:val="32"/>
        </w:rPr>
        <w:t>问题。突出察汗淖尔、“一湖两海”、黄河流域生态治理和脱贫攻坚工作。</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方正楷体_GBK" w:cs="方正楷体_GBK" w:hint="eastAsia"/>
          <w:bCs/>
          <w:kern w:val="0"/>
          <w:sz w:val="32"/>
          <w:szCs w:val="32"/>
          <w:lang w:val="zh-CN"/>
        </w:rPr>
        <w:t>（二）典型引领，整县推进</w:t>
      </w: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分步有序整县制推进地膜回收利用</w:t>
      </w:r>
      <w:r>
        <w:rPr>
          <w:rFonts w:ascii="仿宋_GB2312" w:eastAsia="仿宋_GB2312" w:hAnsi="仿宋" w:hint="eastAsia"/>
          <w:color w:val="000000" w:themeColor="text1"/>
          <w:sz w:val="32"/>
          <w:szCs w:val="32"/>
        </w:rPr>
        <w:t>处理</w:t>
      </w:r>
      <w:r>
        <w:rPr>
          <w:rFonts w:ascii="仿宋_GB2312" w:eastAsia="仿宋_GB2312" w:hAnsi="仿宋" w:hint="eastAsia"/>
          <w:sz w:val="32"/>
          <w:szCs w:val="32"/>
        </w:rPr>
        <w:t>，构建捡拾回收加工利用体系；集中打造一批典型和试点旗县，发挥示范带动效应。</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方正楷体_GBK" w:cs="方正楷体_GBK" w:hint="eastAsia"/>
          <w:bCs/>
          <w:kern w:val="0"/>
          <w:sz w:val="32"/>
          <w:szCs w:val="32"/>
          <w:lang w:val="zh-CN"/>
        </w:rPr>
        <w:t>（三）多措并举，严格防控</w:t>
      </w: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严格执行新的标准规范，强化源头防控，全面执行《农用薄膜管理办法》，禁产禁销禁用非标地膜，推进以机械捡拾为主，以人工捡拾为辅，综合施策，严防严控农膜污染。</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方正楷体_GBK" w:cs="方正楷体_GBK" w:hint="eastAsia"/>
          <w:bCs/>
          <w:kern w:val="0"/>
          <w:sz w:val="32"/>
          <w:szCs w:val="32"/>
          <w:lang w:val="zh-CN"/>
        </w:rPr>
        <w:t>（四）政府引导，多方参与</w:t>
      </w: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加大政策支持力度，充分调动地膜生产销售企业、农业生产经营者、回收利用企业、社会化服务组织等多方积极性，引导社会资本参与，鼓励农民筹资投劳，形成长效机制，共同持续推进农膜污染防治工作。 </w:t>
      </w:r>
    </w:p>
    <w:p w:rsidR="00EC353A" w:rsidRDefault="00A21842" w:rsidP="00C67CF5">
      <w:pPr>
        <w:adjustRightInd w:val="0"/>
        <w:snapToGrid w:val="0"/>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三、建设内容及目标</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方正楷体_GBK" w:cs="方正楷体_GBK" w:hint="eastAsia"/>
          <w:bCs/>
          <w:kern w:val="0"/>
          <w:sz w:val="32"/>
          <w:szCs w:val="32"/>
          <w:lang w:val="zh-CN"/>
        </w:rPr>
        <w:t>（一）建设15个废旧地膜回收利用示范旗县</w:t>
      </w:r>
    </w:p>
    <w:p w:rsidR="00EC353A" w:rsidRDefault="00A21842" w:rsidP="00C67CF5">
      <w:pPr>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在全区范围内择优选择15个旗县开展废旧地膜回收利用示范县项目，整旗县推进，</w:t>
      </w:r>
      <w:r>
        <w:rPr>
          <w:rFonts w:ascii="仿宋_GB2312" w:eastAsia="仿宋_GB2312" w:hAnsi="仿宋" w:hint="eastAsia"/>
          <w:sz w:val="32"/>
          <w:szCs w:val="32"/>
        </w:rPr>
        <w:t>大力推广国标地膜，建立回收加工处理体系，并进行资源化利用，当季地膜回收率达到85%以上，</w:t>
      </w:r>
      <w:r>
        <w:rPr>
          <w:rFonts w:ascii="仿宋_GB2312" w:eastAsia="仿宋_GB2312" w:hAnsi="仿宋" w:hint="eastAsia"/>
          <w:color w:val="000000" w:themeColor="text1"/>
          <w:sz w:val="32"/>
          <w:szCs w:val="32"/>
        </w:rPr>
        <w:t>并于202</w:t>
      </w: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年5月底前全部完成。同时每个旗县设置20个地膜残留监测点，每个监测点监测5个样方，严格按照农业农村部《农膜回收行动监测方案》要求开展监测工作，及时提交监测数据和报告。项目实施单位为旗县农牧局。</w:t>
      </w:r>
    </w:p>
    <w:p w:rsidR="00EC353A" w:rsidRDefault="00A21842" w:rsidP="00C67CF5">
      <w:pPr>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中央资金主要用于对废旧地膜回收机具的购置补贴，对人工作业、回收运输、利用处理环节的补贴，对回收点建设和运行的补贴，以及开展技术培训，政策创设，绩效评价，地膜残留监测等工作的补贴，推进废旧地膜回收与资源化利用能力提升补贴和回收模式探索。不得用于地膜购买补贴和购置牵引动力设备等。各盟市旗县可探索创新以提高地膜回收利用为目标的补贴机制，根据本地实际设定补贴形式、补贴标准和补贴上限等。</w:t>
      </w: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旗县要结合自身实际参照《废旧地膜回收利用示范县建设方案提纲》（详见附2）编写《废旧地膜回收示范项目实施方案》，各盟市要组织相关技术专家对项目旗县方案进行评估审核，并于2021年5月15日前以正式文件报自治区农牧厅备案。</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方正楷体_GBK" w:cs="方正楷体_GBK" w:hint="eastAsia"/>
          <w:bCs/>
          <w:kern w:val="0"/>
          <w:sz w:val="32"/>
          <w:szCs w:val="32"/>
          <w:lang w:val="zh-CN"/>
        </w:rPr>
        <w:t>（二）农膜回收区域补偿制度和绿色发展综合试点</w:t>
      </w:r>
    </w:p>
    <w:p w:rsidR="00EC353A" w:rsidRDefault="00A21842" w:rsidP="00C67CF5">
      <w:pPr>
        <w:adjustRightInd w:val="0"/>
        <w:snapToGrid w:val="0"/>
        <w:spacing w:line="600" w:lineRule="exact"/>
        <w:ind w:firstLineChars="200" w:firstLine="640"/>
        <w:outlineLvl w:val="1"/>
        <w:rPr>
          <w:rFonts w:ascii="仿宋_GB2312" w:eastAsia="仿宋_GB2312"/>
          <w:color w:val="000000" w:themeColor="text1"/>
          <w:sz w:val="32"/>
          <w:szCs w:val="32"/>
        </w:rPr>
      </w:pPr>
      <w:r>
        <w:rPr>
          <w:rFonts w:ascii="仿宋_GB2312" w:eastAsia="仿宋_GB2312" w:hAnsi="仿宋" w:hint="eastAsia"/>
          <w:color w:val="000000" w:themeColor="text1"/>
          <w:sz w:val="32"/>
          <w:szCs w:val="32"/>
        </w:rPr>
        <w:t>按照农业农村部安排部署，巴彦淖尔市五原县、通辽市开鲁县被列为农膜回收区域补偿制度试点，巴彦淖尔市杭锦后旗被列</w:t>
      </w:r>
      <w:r w:rsidRPr="00C67CF5">
        <w:rPr>
          <w:rFonts w:ascii="仿宋_GB2312" w:eastAsia="仿宋_GB2312" w:hAnsi="仿宋" w:hint="eastAsia"/>
          <w:color w:val="000000" w:themeColor="text1"/>
          <w:spacing w:val="6"/>
          <w:sz w:val="32"/>
          <w:szCs w:val="32"/>
        </w:rPr>
        <w:lastRenderedPageBreak/>
        <w:t>为农业绿色发展综合试点。</w:t>
      </w:r>
      <w:r w:rsidRPr="00C67CF5">
        <w:rPr>
          <w:rFonts w:ascii="仿宋_GB2312" w:eastAsia="仿宋_GB2312" w:hint="eastAsia"/>
          <w:color w:val="000000" w:themeColor="text1"/>
          <w:spacing w:val="6"/>
          <w:sz w:val="32"/>
          <w:szCs w:val="32"/>
        </w:rPr>
        <w:t>开鲁县、五原县、杭锦后旗</w:t>
      </w:r>
      <w:r w:rsidRPr="00C67CF5">
        <w:rPr>
          <w:rFonts w:ascii="仿宋_GB2312" w:eastAsia="仿宋_GB2312" w:hint="eastAsia"/>
          <w:spacing w:val="6"/>
          <w:sz w:val="32"/>
          <w:szCs w:val="32"/>
        </w:rPr>
        <w:t>要在2020年工作的基础上，结合废旧地膜回收利用示范县项目进一步强化农业绿色发展体制机制创新，继续先行先试，不断探索区域性补偿制度的操作方案和实现路径，统筹利用废旧地膜回收处理利用示范项目补贴、耕地地力保护补贴等政策资金，突出绿色生态导向，找准补贴关键环节，发挥补贴资金最大效益，同时探索税收、用电、用地等相关优惠政策，构建补贴发放与农膜回收相挂钩机制。</w:t>
      </w:r>
    </w:p>
    <w:p w:rsidR="00EC353A" w:rsidRDefault="00A21842" w:rsidP="00C67CF5">
      <w:pPr>
        <w:adjustRightInd w:val="0"/>
        <w:snapToGrid w:val="0"/>
        <w:spacing w:line="600" w:lineRule="exact"/>
        <w:ind w:firstLineChars="200" w:firstLine="640"/>
        <w:outlineLvl w:val="1"/>
        <w:rPr>
          <w:rFonts w:ascii="仿宋_GB2312" w:eastAsia="仿宋_GB2312" w:hAnsi="仿宋"/>
          <w:color w:val="000000" w:themeColor="text1"/>
          <w:sz w:val="32"/>
          <w:szCs w:val="32"/>
        </w:rPr>
      </w:pPr>
      <w:r>
        <w:rPr>
          <w:rFonts w:ascii="仿宋_GB2312" w:eastAsia="仿宋_GB2312" w:hint="eastAsia"/>
          <w:color w:val="000000" w:themeColor="text1"/>
          <w:sz w:val="32"/>
          <w:szCs w:val="32"/>
        </w:rPr>
        <w:t>巴彦淖尔市、通辽市要在安排</w:t>
      </w:r>
      <w:r>
        <w:rPr>
          <w:rFonts w:ascii="仿宋_GB2312" w:eastAsia="仿宋_GB2312" w:hAnsi="仿宋" w:hint="eastAsia"/>
          <w:color w:val="000000" w:themeColor="text1"/>
          <w:sz w:val="32"/>
          <w:szCs w:val="32"/>
        </w:rPr>
        <w:t>废旧地膜回收利用示范县项目资金的基础上对上述每个旗县单独安排资金预算，资金在2021年中央财政资金中统筹安排，项目实施单位为旗县农牧局。</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方正楷体_GBK" w:cs="方正楷体_GBK" w:hint="eastAsia"/>
          <w:bCs/>
          <w:kern w:val="0"/>
          <w:sz w:val="32"/>
          <w:szCs w:val="32"/>
          <w:lang w:val="zh-CN"/>
        </w:rPr>
        <w:t>（三）建设全生物降解地膜试验示范点7个</w:t>
      </w: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在全区范围内选择工作基础好、积极性高的旗县开展全生物降解地膜试验。试验地点分别是兴安盟扎赉特旗，通辽市开鲁县，赤峰市喀喇沁旗和元宝山区，乌兰察布市四子王旗，巴彦淖尔市五原县和杭锦后旗，</w:t>
      </w:r>
      <w:r w:rsidRPr="00C67CF5">
        <w:rPr>
          <w:rFonts w:ascii="仿宋_GB2312" w:eastAsia="仿宋_GB2312" w:hAnsi="仿宋" w:hint="eastAsia"/>
          <w:spacing w:val="6"/>
          <w:kern w:val="0"/>
          <w:sz w:val="32"/>
          <w:szCs w:val="32"/>
        </w:rPr>
        <w:t>每个旗县全生物可降解地膜示范面积不低于2000亩</w:t>
      </w:r>
      <w:r w:rsidRPr="00C67CF5">
        <w:rPr>
          <w:rFonts w:ascii="仿宋_GB2312" w:eastAsia="仿宋_GB2312" w:hAnsi="仿宋" w:hint="eastAsia"/>
          <w:spacing w:val="6"/>
          <w:sz w:val="32"/>
          <w:szCs w:val="32"/>
        </w:rPr>
        <w:t>。兴安盟参试主要作物为旱稻、通辽参试主要作物为红干椒、赤峰市参试主要作物为玉米、乌兰察布市参试主要作物为马铃薯、巴彦淖尔市参试主要作物为向日葵。</w:t>
      </w:r>
      <w:r w:rsidRPr="00C67CF5">
        <w:rPr>
          <w:rFonts w:ascii="仿宋_GB2312" w:eastAsia="仿宋_GB2312" w:hAnsi="仿宋" w:hint="eastAsia"/>
          <w:color w:val="000000" w:themeColor="text1"/>
          <w:spacing w:val="6"/>
          <w:sz w:val="32"/>
          <w:szCs w:val="32"/>
        </w:rPr>
        <w:t>资金在202</w:t>
      </w:r>
      <w:r w:rsidRPr="00C67CF5">
        <w:rPr>
          <w:rFonts w:ascii="仿宋_GB2312" w:eastAsia="仿宋_GB2312" w:hAnsi="仿宋"/>
          <w:color w:val="000000" w:themeColor="text1"/>
          <w:spacing w:val="6"/>
          <w:sz w:val="32"/>
          <w:szCs w:val="32"/>
        </w:rPr>
        <w:t>1</w:t>
      </w:r>
      <w:r w:rsidRPr="00C67CF5">
        <w:rPr>
          <w:rFonts w:ascii="仿宋_GB2312" w:eastAsia="仿宋_GB2312" w:hAnsi="仿宋" w:hint="eastAsia"/>
          <w:color w:val="000000" w:themeColor="text1"/>
          <w:spacing w:val="6"/>
          <w:sz w:val="32"/>
          <w:szCs w:val="32"/>
        </w:rPr>
        <w:t>年中央财政资金中统筹安排，</w:t>
      </w:r>
      <w:r w:rsidRPr="00C67CF5">
        <w:rPr>
          <w:rFonts w:ascii="仿宋_GB2312" w:eastAsia="仿宋_GB2312" w:hAnsi="仿宋" w:hint="eastAsia"/>
          <w:spacing w:val="6"/>
          <w:kern w:val="0"/>
          <w:sz w:val="32"/>
          <w:szCs w:val="32"/>
        </w:rPr>
        <w:t>可用于示范地、</w:t>
      </w:r>
      <w:r w:rsidRPr="00C67CF5">
        <w:rPr>
          <w:rFonts w:ascii="仿宋_GB2312" w:eastAsia="仿宋_GB2312" w:hAnsi="仿宋" w:hint="eastAsia"/>
          <w:color w:val="000000" w:themeColor="text1"/>
          <w:spacing w:val="6"/>
          <w:kern w:val="0"/>
          <w:sz w:val="32"/>
          <w:szCs w:val="32"/>
        </w:rPr>
        <w:t>车辆、</w:t>
      </w:r>
      <w:r w:rsidRPr="00C67CF5">
        <w:rPr>
          <w:rFonts w:ascii="仿宋_GB2312" w:eastAsia="仿宋_GB2312" w:hAnsi="仿宋" w:hint="eastAsia"/>
          <w:spacing w:val="6"/>
          <w:kern w:val="0"/>
          <w:sz w:val="32"/>
          <w:szCs w:val="32"/>
        </w:rPr>
        <w:t>农机具租赁补助，农田作业补助，购置专用材料（全生物降解地</w:t>
      </w:r>
      <w:r w:rsidRPr="00C67CF5">
        <w:rPr>
          <w:rFonts w:ascii="仿宋_GB2312" w:eastAsia="仿宋_GB2312" w:hAnsi="仿宋" w:hint="eastAsia"/>
          <w:spacing w:val="6"/>
          <w:kern w:val="0"/>
          <w:sz w:val="32"/>
          <w:szCs w:val="32"/>
        </w:rPr>
        <w:lastRenderedPageBreak/>
        <w:t>膜、种子、农药、必要的仪器设备），技术培训指导、宣传、专家咨询、劳务、材料检测等支出</w:t>
      </w:r>
      <w:r w:rsidRPr="00C67CF5">
        <w:rPr>
          <w:rFonts w:ascii="仿宋_GB2312" w:eastAsia="仿宋_GB2312" w:hAnsi="仿宋" w:hint="eastAsia"/>
          <w:spacing w:val="6"/>
          <w:sz w:val="32"/>
          <w:szCs w:val="32"/>
        </w:rPr>
        <w:t>。项目实施单位为旗县农村生态能源环保技术部门</w:t>
      </w:r>
      <w:r>
        <w:rPr>
          <w:rFonts w:ascii="仿宋_GB2312" w:eastAsia="仿宋_GB2312" w:hAnsi="仿宋" w:hint="eastAsia"/>
          <w:sz w:val="32"/>
          <w:szCs w:val="32"/>
        </w:rPr>
        <w:t>。</w:t>
      </w:r>
    </w:p>
    <w:p w:rsidR="00EC353A" w:rsidRDefault="00A21842" w:rsidP="00C67CF5">
      <w:pPr>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sz w:val="32"/>
          <w:szCs w:val="32"/>
        </w:rPr>
        <w:t>各项目旗县要按照自治区《全生物降解地膜试验示范技术方案》（另行下发）要求，结合自身实际，编制本地区全生物降解地膜试验示范技术方案并报自治区农村生态能源环保站备案。</w:t>
      </w:r>
    </w:p>
    <w:p w:rsidR="00EC353A" w:rsidRDefault="00A21842" w:rsidP="00C67CF5">
      <w:pPr>
        <w:adjustRightInd w:val="0"/>
        <w:snapToGrid w:val="0"/>
        <w:spacing w:line="600" w:lineRule="exact"/>
        <w:ind w:firstLineChars="200" w:firstLine="640"/>
        <w:outlineLvl w:val="0"/>
        <w:rPr>
          <w:rFonts w:eastAsia="黑体"/>
          <w:sz w:val="32"/>
          <w:szCs w:val="32"/>
        </w:rPr>
      </w:pPr>
      <w:r>
        <w:rPr>
          <w:rFonts w:eastAsia="黑体" w:hint="eastAsia"/>
          <w:sz w:val="32"/>
          <w:szCs w:val="32"/>
        </w:rPr>
        <w:t>四</w:t>
      </w:r>
      <w:r>
        <w:rPr>
          <w:rFonts w:eastAsia="黑体"/>
          <w:sz w:val="32"/>
          <w:szCs w:val="32"/>
        </w:rPr>
        <w:t>、</w:t>
      </w:r>
      <w:r>
        <w:rPr>
          <w:rFonts w:eastAsia="黑体" w:hint="eastAsia"/>
          <w:sz w:val="32"/>
          <w:szCs w:val="32"/>
        </w:rPr>
        <w:t>工作要求</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方正楷体_GBK" w:cs="方正楷体_GBK" w:hint="eastAsia"/>
          <w:bCs/>
          <w:kern w:val="0"/>
          <w:sz w:val="32"/>
          <w:szCs w:val="32"/>
          <w:lang w:val="zh-CN"/>
        </w:rPr>
        <w:t>（一）加强组织领导</w:t>
      </w:r>
    </w:p>
    <w:p w:rsidR="00EC353A" w:rsidRDefault="00A21842" w:rsidP="00C67CF5">
      <w:pPr>
        <w:adjustRightInd w:val="0"/>
        <w:snapToGrid w:val="0"/>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自治区农牧厅成立由</w:t>
      </w:r>
      <w:r>
        <w:rPr>
          <w:rFonts w:ascii="仿宋_GB2312" w:eastAsia="仿宋_GB2312" w:hAnsi="华文仿宋"/>
          <w:sz w:val="32"/>
          <w:szCs w:val="32"/>
        </w:rPr>
        <w:t>分管</w:t>
      </w:r>
      <w:r>
        <w:rPr>
          <w:rFonts w:ascii="仿宋_GB2312" w:eastAsia="仿宋_GB2312" w:hAnsi="华文仿宋" w:hint="eastAsia"/>
          <w:sz w:val="32"/>
          <w:szCs w:val="32"/>
        </w:rPr>
        <w:t>领导</w:t>
      </w:r>
      <w:r>
        <w:rPr>
          <w:rFonts w:ascii="仿宋_GB2312" w:eastAsia="仿宋_GB2312" w:hAnsi="华文仿宋"/>
          <w:sz w:val="32"/>
          <w:szCs w:val="32"/>
        </w:rPr>
        <w:t>任组长的</w:t>
      </w:r>
      <w:r>
        <w:rPr>
          <w:rFonts w:ascii="仿宋_GB2312" w:eastAsia="仿宋_GB2312" w:hAnsi="华文仿宋" w:hint="eastAsia"/>
          <w:sz w:val="32"/>
          <w:szCs w:val="32"/>
        </w:rPr>
        <w:t>农膜回收行动</w:t>
      </w:r>
      <w:r>
        <w:rPr>
          <w:rFonts w:ascii="仿宋_GB2312" w:eastAsia="仿宋_GB2312" w:hAnsi="华文仿宋"/>
          <w:sz w:val="32"/>
          <w:szCs w:val="32"/>
        </w:rPr>
        <w:t>领导小组，</w:t>
      </w:r>
      <w:r>
        <w:rPr>
          <w:rFonts w:ascii="仿宋_GB2312" w:eastAsia="仿宋_GB2312" w:hAnsi="华文仿宋" w:hint="eastAsia"/>
          <w:sz w:val="32"/>
          <w:szCs w:val="32"/>
        </w:rPr>
        <w:t>主要负责统筹协调，强化项目管理，加强对地方工作的指导和服务。有关盟市也要成立项目推进工作组，加强协调指导，推进各项措施落实到位。</w:t>
      </w:r>
      <w:r>
        <w:rPr>
          <w:rFonts w:ascii="Times New Roman" w:eastAsia="仿宋_GB2312" w:hAnsi="Times New Roman" w:cs="仿宋_GB2312" w:hint="eastAsia"/>
          <w:kern w:val="0"/>
          <w:sz w:val="32"/>
          <w:szCs w:val="32"/>
        </w:rPr>
        <w:t>各回收利用示范旗县</w:t>
      </w:r>
      <w:r>
        <w:rPr>
          <w:rFonts w:ascii="仿宋_GB2312" w:eastAsia="仿宋_GB2312" w:hAnsi="华文仿宋" w:hint="eastAsia"/>
          <w:sz w:val="32"/>
          <w:szCs w:val="32"/>
        </w:rPr>
        <w:t>应</w:t>
      </w:r>
      <w:r>
        <w:rPr>
          <w:rFonts w:ascii="仿宋_GB2312" w:eastAsia="仿宋_GB2312" w:hAnsi="华文仿宋"/>
          <w:sz w:val="32"/>
          <w:szCs w:val="32"/>
        </w:rPr>
        <w:t>成立由政府主要</w:t>
      </w:r>
      <w:r>
        <w:rPr>
          <w:rFonts w:ascii="仿宋_GB2312" w:eastAsia="仿宋_GB2312" w:hAnsi="华文仿宋" w:hint="eastAsia"/>
          <w:sz w:val="32"/>
          <w:szCs w:val="32"/>
        </w:rPr>
        <w:t>领导</w:t>
      </w:r>
      <w:r>
        <w:rPr>
          <w:rFonts w:ascii="仿宋_GB2312" w:eastAsia="仿宋_GB2312" w:hAnsi="华文仿宋"/>
          <w:sz w:val="32"/>
          <w:szCs w:val="32"/>
        </w:rPr>
        <w:t>任组长的实施领导小组</w:t>
      </w:r>
      <w:r>
        <w:rPr>
          <w:rFonts w:ascii="仿宋_GB2312" w:eastAsia="仿宋_GB2312" w:hAnsi="华文仿宋" w:hint="eastAsia"/>
          <w:sz w:val="32"/>
          <w:szCs w:val="32"/>
        </w:rPr>
        <w:t>，组织领导各方力量，</w:t>
      </w:r>
      <w:r>
        <w:rPr>
          <w:rFonts w:ascii="Times New Roman" w:eastAsia="仿宋_GB2312" w:hAnsi="Times New Roman" w:cs="仿宋_GB2312" w:hint="eastAsia"/>
          <w:kern w:val="0"/>
          <w:sz w:val="32"/>
          <w:szCs w:val="32"/>
        </w:rPr>
        <w:t>细化任务分工，</w:t>
      </w:r>
      <w:r>
        <w:rPr>
          <w:rFonts w:ascii="仿宋_GB2312" w:eastAsia="仿宋_GB2312" w:hAnsi="华文仿宋" w:hint="eastAsia"/>
          <w:sz w:val="32"/>
          <w:szCs w:val="32"/>
        </w:rPr>
        <w:t>明确农业、工信、财政、</w:t>
      </w:r>
      <w:r>
        <w:rPr>
          <w:rFonts w:ascii="仿宋_GB2312" w:eastAsia="仿宋_GB2312" w:hAnsi="华文仿宋" w:hint="eastAsia"/>
          <w:color w:val="000000" w:themeColor="text1"/>
          <w:sz w:val="32"/>
          <w:szCs w:val="32"/>
        </w:rPr>
        <w:t>市场监督、生态环境、供销社</w:t>
      </w:r>
      <w:r>
        <w:rPr>
          <w:rFonts w:ascii="仿宋_GB2312" w:eastAsia="仿宋_GB2312" w:hAnsi="华文仿宋" w:hint="eastAsia"/>
          <w:sz w:val="32"/>
          <w:szCs w:val="32"/>
        </w:rPr>
        <w:t>等相关部门的职责，各负其责，形成工作合力，</w:t>
      </w:r>
      <w:r>
        <w:rPr>
          <w:rFonts w:ascii="Times New Roman" w:eastAsia="仿宋_GB2312" w:hAnsi="Times New Roman" w:cs="仿宋_GB2312" w:hint="eastAsia"/>
          <w:kern w:val="0"/>
          <w:sz w:val="32"/>
          <w:szCs w:val="32"/>
        </w:rPr>
        <w:t>加大资金投入，完善政策措施，建立部门协调机制，强化日常监管，确保废旧地膜回收利用各项任务落实到位。</w:t>
      </w:r>
      <w:r>
        <w:rPr>
          <w:rFonts w:ascii="仿宋_GB2312" w:eastAsia="仿宋_GB2312" w:hAnsi="华文仿宋"/>
          <w:sz w:val="32"/>
          <w:szCs w:val="32"/>
        </w:rPr>
        <w:t xml:space="preserve"> </w:t>
      </w:r>
    </w:p>
    <w:p w:rsidR="00EC353A" w:rsidRDefault="00A21842" w:rsidP="00C67CF5">
      <w:pPr>
        <w:adjustRightInd w:val="0"/>
        <w:snapToGrid w:val="0"/>
        <w:spacing w:line="600" w:lineRule="exact"/>
        <w:ind w:firstLineChars="200" w:firstLine="640"/>
        <w:rPr>
          <w:rFonts w:ascii="楷体_GB2312" w:eastAsia="楷体_GB2312" w:hAnsi="??_GB2312" w:cs="宋体"/>
          <w:bCs/>
          <w:color w:val="000000" w:themeColor="text1"/>
          <w:kern w:val="0"/>
          <w:sz w:val="32"/>
          <w:szCs w:val="32"/>
          <w:lang w:val="zh-CN"/>
        </w:rPr>
      </w:pPr>
      <w:r>
        <w:rPr>
          <w:rFonts w:ascii="楷体_GB2312" w:eastAsia="楷体_GB2312" w:hAnsi="华文仿宋" w:hint="eastAsia"/>
          <w:sz w:val="32"/>
          <w:szCs w:val="32"/>
        </w:rPr>
        <w:t>（二）</w:t>
      </w:r>
      <w:r>
        <w:rPr>
          <w:rFonts w:ascii="楷体_GB2312" w:eastAsia="楷体_GB2312" w:hAnsi="仿宋" w:hint="eastAsia"/>
          <w:bCs/>
          <w:color w:val="000000" w:themeColor="text1"/>
          <w:sz w:val="32"/>
          <w:szCs w:val="32"/>
        </w:rPr>
        <w:t>强化政策创设</w:t>
      </w:r>
    </w:p>
    <w:p w:rsidR="00EC353A" w:rsidRDefault="00A21842" w:rsidP="00C67CF5">
      <w:pPr>
        <w:autoSpaceDE w:val="0"/>
        <w:autoSpaceDN w:val="0"/>
        <w:adjustRightInd w:val="0"/>
        <w:snapToGrid w:val="0"/>
        <w:spacing w:line="600" w:lineRule="exact"/>
        <w:ind w:firstLineChars="200" w:firstLine="640"/>
        <w:rPr>
          <w:rFonts w:ascii="仿宋_GB2312" w:eastAsia="仿宋_GB2312" w:hAnsi="宋体" w:cs="宋体"/>
          <w:color w:val="000000" w:themeColor="text1"/>
          <w:kern w:val="0"/>
          <w:sz w:val="32"/>
          <w:szCs w:val="32"/>
          <w:shd w:val="clear" w:color="auto" w:fill="FFFFFF"/>
        </w:rPr>
      </w:pPr>
      <w:r>
        <w:rPr>
          <w:rFonts w:ascii="仿宋_GB2312" w:eastAsia="仿宋_GB2312" w:hAnsi="华文仿宋" w:hint="eastAsia"/>
          <w:sz w:val="32"/>
          <w:szCs w:val="32"/>
        </w:rPr>
        <w:t>各项目盟市、旗县要研究出台地膜回收加工的支持政策，</w:t>
      </w:r>
      <w:r>
        <w:rPr>
          <w:rFonts w:ascii="仿宋_GB2312" w:eastAsia="仿宋_GB2312" w:cs="仿宋_GB2312" w:hint="eastAsia"/>
          <w:sz w:val="32"/>
          <w:szCs w:val="32"/>
        </w:rPr>
        <w:t>鼓励探索标准地膜推广应用与回收补贴挂钩机制，</w:t>
      </w:r>
      <w:r>
        <w:rPr>
          <w:rFonts w:ascii="仿宋_GB2312" w:eastAsia="仿宋_GB2312" w:hAnsi="华文仿宋" w:hint="eastAsia"/>
          <w:sz w:val="32"/>
          <w:szCs w:val="32"/>
        </w:rPr>
        <w:t>扶持从事地膜回收加工的社会化服务组织和企业，推动形成回收加工体系。</w:t>
      </w:r>
      <w:r>
        <w:rPr>
          <w:rFonts w:ascii="仿宋_GB2312" w:eastAsia="仿宋_GB2312" w:hAnsi="仿宋" w:hint="eastAsia"/>
          <w:sz w:val="32"/>
          <w:szCs w:val="32"/>
        </w:rPr>
        <w:t>对于</w:t>
      </w:r>
      <w:r>
        <w:rPr>
          <w:rFonts w:ascii="仿宋_GB2312" w:eastAsia="仿宋_GB2312" w:hAnsi="仿宋" w:hint="eastAsia"/>
          <w:sz w:val="32"/>
          <w:szCs w:val="32"/>
        </w:rPr>
        <w:lastRenderedPageBreak/>
        <w:t>易回收易分离的，以市场化运作为主，使用者田间收集，企业回收再利用，政府给予补贴的方式进行资源化利用；对于难回收难分离的，</w:t>
      </w:r>
      <w:r>
        <w:rPr>
          <w:rFonts w:ascii="仿宋_GB2312" w:eastAsia="仿宋_GB2312" w:hAnsi="仿宋" w:hint="eastAsia"/>
          <w:color w:val="000000" w:themeColor="text1"/>
          <w:sz w:val="32"/>
          <w:szCs w:val="32"/>
        </w:rPr>
        <w:t>可参照农村垃圾处理的方式进行无害化处理，按量给予补贴。</w:t>
      </w:r>
    </w:p>
    <w:p w:rsidR="00EC353A" w:rsidRDefault="00A21842" w:rsidP="00C67CF5">
      <w:pPr>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_GB2312" w:cs="宋体" w:hint="eastAsia"/>
          <w:color w:val="000000" w:themeColor="text1"/>
          <w:kern w:val="0"/>
          <w:sz w:val="32"/>
          <w:szCs w:val="32"/>
          <w:lang w:val="zh-CN"/>
        </w:rPr>
        <w:t>各盟市要</w:t>
      </w:r>
      <w:r>
        <w:rPr>
          <w:rFonts w:ascii="仿宋_GB2312" w:eastAsia="仿宋_GB2312" w:cs="仿宋_GB2312" w:hint="eastAsia"/>
          <w:color w:val="000000" w:themeColor="text1"/>
          <w:kern w:val="0"/>
          <w:sz w:val="32"/>
          <w:szCs w:val="32"/>
        </w:rPr>
        <w:t>选择在已有工作基础的回收利用旗县创建废旧地膜回收处理利用模式，从法律法规、标准规范、结构调整、农机农艺、产品推广等多个方面着手，积极探索适宜本地区的农用地膜防控措施，研究制定相应规范标准，构建回收处理利用模式，</w:t>
      </w:r>
      <w:r>
        <w:rPr>
          <w:rFonts w:ascii="仿宋_GB2312" w:eastAsia="仿宋_GB2312" w:hAnsi="仿宋" w:hint="eastAsia"/>
          <w:color w:val="000000" w:themeColor="text1"/>
          <w:sz w:val="32"/>
          <w:szCs w:val="32"/>
        </w:rPr>
        <w:t>形成技术可推广、运营可持续、政策可落地、机制可复制的示范样板和技术模式。</w:t>
      </w:r>
    </w:p>
    <w:p w:rsidR="00EC353A" w:rsidRDefault="00A21842" w:rsidP="00C67CF5">
      <w:pPr>
        <w:autoSpaceDE w:val="0"/>
        <w:autoSpaceDN w:val="0"/>
        <w:adjustRightInd w:val="0"/>
        <w:snapToGrid w:val="0"/>
        <w:spacing w:line="600" w:lineRule="exact"/>
        <w:ind w:firstLineChars="200" w:firstLine="640"/>
        <w:rPr>
          <w:rFonts w:ascii="楷体_GB2312" w:eastAsia="楷体_GB2312" w:hAnsi="仿宋"/>
          <w:bCs/>
          <w:color w:val="000000" w:themeColor="text1"/>
          <w:sz w:val="32"/>
          <w:szCs w:val="32"/>
        </w:rPr>
      </w:pPr>
      <w:r>
        <w:rPr>
          <w:rFonts w:ascii="楷体_GB2312" w:eastAsia="楷体_GB2312" w:hAnsi="仿宋" w:hint="eastAsia"/>
          <w:bCs/>
          <w:color w:val="000000" w:themeColor="text1"/>
          <w:sz w:val="32"/>
          <w:szCs w:val="32"/>
        </w:rPr>
        <w:t>（三）强化源头管控</w:t>
      </w:r>
    </w:p>
    <w:p w:rsidR="00EC353A" w:rsidRDefault="00A21842" w:rsidP="00C67CF5">
      <w:pPr>
        <w:adjustRightInd w:val="0"/>
        <w:snapToGrid w:val="0"/>
        <w:spacing w:line="600" w:lineRule="exact"/>
        <w:ind w:firstLineChars="200" w:firstLine="640"/>
        <w:outlineLvl w:val="1"/>
        <w:rPr>
          <w:rFonts w:ascii="仿宋_GB2312" w:eastAsia="仿宋_GB2312" w:hAnsi="Times New Roman" w:cs="仿宋_GB2312"/>
          <w:kern w:val="0"/>
          <w:sz w:val="32"/>
          <w:szCs w:val="32"/>
        </w:rPr>
      </w:pPr>
      <w:r>
        <w:rPr>
          <w:rFonts w:ascii="仿宋_GB2312" w:eastAsia="仿宋_GB2312" w:hAnsi="华文仿宋" w:hint="eastAsia"/>
          <w:color w:val="000000" w:themeColor="text1"/>
          <w:sz w:val="32"/>
          <w:szCs w:val="32"/>
        </w:rPr>
        <w:t>项目盟市、旗县农牧部门要联合工信、市场监管等部门严格贯彻落实《关于加快推进农用地膜污染防治的意见》《内蒙古自治区关于加强塑料污染治理工作方案》，依照</w:t>
      </w:r>
      <w:r>
        <w:rPr>
          <w:rFonts w:ascii="仿宋_GB2312" w:eastAsia="仿宋_GB2312" w:hint="eastAsia"/>
          <w:sz w:val="32"/>
          <w:szCs w:val="32"/>
        </w:rPr>
        <w:t>《中华人民共和国土壤污染防治法》《农用薄膜管理办法》</w:t>
      </w:r>
      <w:r>
        <w:rPr>
          <w:rFonts w:ascii="仿宋_GB2312" w:eastAsia="仿宋_GB2312" w:hint="eastAsia"/>
          <w:color w:val="000000" w:themeColor="text1"/>
          <w:sz w:val="32"/>
          <w:szCs w:val="32"/>
        </w:rPr>
        <w:t>《中华人民共和国固体废物污染环境防治法》</w:t>
      </w:r>
      <w:r>
        <w:rPr>
          <w:rFonts w:ascii="仿宋_GB2312" w:eastAsia="仿宋_GB2312" w:hint="eastAsia"/>
          <w:sz w:val="32"/>
          <w:szCs w:val="32"/>
        </w:rPr>
        <w:t>等法律规章，结合部门分工，强化对地膜生产、销售和使用环节的监管和指导工作。要</w:t>
      </w:r>
      <w:r>
        <w:rPr>
          <w:rFonts w:ascii="仿宋_GB2312" w:eastAsia="仿宋_GB2312" w:hAnsi="Times New Roman" w:cs="仿宋_GB2312" w:hint="eastAsia"/>
          <w:color w:val="000000" w:themeColor="text1"/>
          <w:kern w:val="0"/>
          <w:sz w:val="32"/>
          <w:szCs w:val="32"/>
        </w:rPr>
        <w:t>严格落</w:t>
      </w:r>
      <w:r>
        <w:rPr>
          <w:rFonts w:ascii="仿宋_GB2312" w:eastAsia="仿宋_GB2312" w:hAnsi="Times New Roman" w:cs="仿宋_GB2312" w:hint="eastAsia"/>
          <w:kern w:val="0"/>
          <w:sz w:val="32"/>
          <w:szCs w:val="32"/>
        </w:rPr>
        <w:t>实《聚乙烯吹塑农用地面覆盖薄膜》</w:t>
      </w:r>
      <w:r>
        <w:rPr>
          <w:rFonts w:ascii="仿宋_GB2312" w:eastAsia="仿宋_GB2312" w:hAnsi="仿宋_GB2312" w:cs="仿宋_GB2312" w:hint="eastAsia"/>
          <w:kern w:val="0"/>
          <w:sz w:val="32"/>
          <w:szCs w:val="32"/>
        </w:rPr>
        <w:t>（GB13735-2017）</w:t>
      </w:r>
      <w:r>
        <w:rPr>
          <w:rFonts w:ascii="仿宋_GB2312" w:eastAsia="仿宋_GB2312" w:hAnsi="Times New Roman" w:cs="仿宋_GB2312" w:hint="eastAsia"/>
          <w:kern w:val="0"/>
          <w:sz w:val="32"/>
          <w:szCs w:val="32"/>
        </w:rPr>
        <w:t>关于地膜厚度和力学性能的强制性要求，进一步规范本地区地膜生产、销售企业</w:t>
      </w:r>
      <w:r>
        <w:rPr>
          <w:rFonts w:ascii="仿宋_GB2312" w:eastAsia="仿宋_GB2312" w:hAnsi="华文仿宋" w:hint="eastAsia"/>
          <w:sz w:val="32"/>
          <w:szCs w:val="32"/>
        </w:rPr>
        <w:t>，</w:t>
      </w:r>
      <w:r>
        <w:rPr>
          <w:rFonts w:ascii="仿宋_GB2312" w:eastAsia="仿宋_GB2312" w:hAnsi="Times New Roman" w:cs="仿宋_GB2312" w:hint="eastAsia"/>
          <w:kern w:val="0"/>
          <w:sz w:val="32"/>
          <w:szCs w:val="32"/>
        </w:rPr>
        <w:t>严格地膜生产环节质量监管。要</w:t>
      </w:r>
      <w:r>
        <w:rPr>
          <w:rFonts w:ascii="仿宋_GB2312" w:eastAsia="仿宋_GB2312" w:hAnsi="华文仿宋" w:hint="eastAsia"/>
          <w:sz w:val="32"/>
          <w:szCs w:val="32"/>
        </w:rPr>
        <w:t>将地膜纳入农资打假范畴</w:t>
      </w:r>
      <w:r>
        <w:rPr>
          <w:rFonts w:ascii="仿宋_GB2312" w:eastAsia="仿宋_GB2312" w:hAnsi="Times New Roman" w:cs="仿宋_GB2312" w:hint="eastAsia"/>
          <w:kern w:val="0"/>
          <w:sz w:val="32"/>
          <w:szCs w:val="32"/>
        </w:rPr>
        <w:t>，依法打击非标地膜的销售。</w:t>
      </w:r>
      <w:r>
        <w:rPr>
          <w:rFonts w:ascii="仿宋_GB2312" w:eastAsia="仿宋_GB2312" w:hAnsi="Times New Roman" w:cs="仿宋_GB2312" w:hint="eastAsia"/>
          <w:color w:val="000000" w:themeColor="text1"/>
          <w:kern w:val="0"/>
          <w:sz w:val="32"/>
          <w:szCs w:val="32"/>
        </w:rPr>
        <w:t>各级农牧部门要引导鼓励使用厚度大于0.01</w:t>
      </w:r>
      <w:r>
        <w:rPr>
          <w:rFonts w:ascii="仿宋_GB2312" w:eastAsia="仿宋_GB2312" w:hAnsi="Times New Roman" w:cs="仿宋_GB2312" w:hint="eastAsia"/>
          <w:color w:val="000000" w:themeColor="text1"/>
          <w:kern w:val="0"/>
          <w:sz w:val="32"/>
          <w:szCs w:val="32"/>
        </w:rPr>
        <w:lastRenderedPageBreak/>
        <w:t>毫米以上的国标地膜，采取措施全面禁止各类新型经营主体和农牧户使用非标地膜。</w:t>
      </w:r>
      <w:r>
        <w:rPr>
          <w:rFonts w:ascii="仿宋_GB2312" w:eastAsia="仿宋_GB2312" w:hAnsi="Times New Roman" w:cs="仿宋_GB2312" w:hint="eastAsia"/>
          <w:kern w:val="0"/>
          <w:sz w:val="32"/>
          <w:szCs w:val="32"/>
        </w:rPr>
        <w:t>自治区范围内，禁止使用</w:t>
      </w:r>
      <w:r>
        <w:rPr>
          <w:rFonts w:ascii="仿宋_GB2312" w:eastAsia="仿宋_GB2312" w:hAnsi="Times New Roman" w:cs="仿宋_GB2312" w:hint="eastAsia"/>
          <w:color w:val="000000" w:themeColor="text1"/>
          <w:kern w:val="0"/>
          <w:sz w:val="32"/>
          <w:szCs w:val="32"/>
        </w:rPr>
        <w:t>各级</w:t>
      </w:r>
      <w:r>
        <w:rPr>
          <w:rFonts w:ascii="仿宋_GB2312" w:eastAsia="仿宋_GB2312" w:hAnsi="Times New Roman" w:cs="仿宋_GB2312" w:hint="eastAsia"/>
          <w:kern w:val="0"/>
          <w:sz w:val="32"/>
          <w:szCs w:val="32"/>
        </w:rPr>
        <w:t>财政资金购买（补贴）非标地膜，鼓励使用符合标准的全生物可降解地膜替代普通PE地膜。</w:t>
      </w:r>
    </w:p>
    <w:p w:rsidR="00EC353A" w:rsidRDefault="00A21842" w:rsidP="00C67CF5">
      <w:pPr>
        <w:autoSpaceDE w:val="0"/>
        <w:autoSpaceDN w:val="0"/>
        <w:adjustRightInd w:val="0"/>
        <w:snapToGrid w:val="0"/>
        <w:spacing w:line="600" w:lineRule="exact"/>
        <w:ind w:firstLineChars="200" w:firstLine="640"/>
        <w:rPr>
          <w:rFonts w:ascii="楷体_GB2312" w:eastAsia="楷体_GB2312" w:hAnsi="??_GB2312" w:cs="宋体"/>
          <w:bCs/>
          <w:kern w:val="0"/>
          <w:sz w:val="32"/>
          <w:szCs w:val="32"/>
          <w:lang w:val="zh-CN"/>
        </w:rPr>
      </w:pPr>
      <w:r>
        <w:rPr>
          <w:rFonts w:ascii="楷体_GB2312" w:eastAsia="楷体_GB2312" w:hAnsi="宋体" w:cs="宋体" w:hint="eastAsia"/>
          <w:bCs/>
          <w:color w:val="000000" w:themeColor="text1"/>
          <w:kern w:val="0"/>
          <w:sz w:val="32"/>
          <w:szCs w:val="32"/>
          <w:shd w:val="clear" w:color="auto" w:fill="FFFFFF"/>
        </w:rPr>
        <w:t>（四）强化技术支撑</w:t>
      </w:r>
    </w:p>
    <w:p w:rsidR="00EC353A" w:rsidRDefault="00A21842" w:rsidP="00C67CF5">
      <w:pPr>
        <w:autoSpaceDE w:val="0"/>
        <w:autoSpaceDN w:val="0"/>
        <w:adjustRightInd w:val="0"/>
        <w:snapToGrid w:val="0"/>
        <w:spacing w:line="600" w:lineRule="exact"/>
        <w:ind w:firstLineChars="200" w:firstLine="664"/>
        <w:rPr>
          <w:rFonts w:ascii="仿宋_GB2312" w:eastAsia="仿宋_GB2312" w:hAnsi="??_GB2312" w:cs="宋体"/>
          <w:color w:val="000000" w:themeColor="text1"/>
          <w:kern w:val="0"/>
          <w:sz w:val="32"/>
          <w:szCs w:val="32"/>
          <w:lang w:val="zh-CN"/>
        </w:rPr>
      </w:pPr>
      <w:r w:rsidRPr="00C67CF5">
        <w:rPr>
          <w:rFonts w:ascii="仿宋_GB2312" w:eastAsia="仿宋_GB2312" w:hAnsi="宋体" w:cs="宋体" w:hint="eastAsia"/>
          <w:bCs/>
          <w:color w:val="000000" w:themeColor="text1"/>
          <w:spacing w:val="6"/>
          <w:kern w:val="0"/>
          <w:sz w:val="32"/>
          <w:szCs w:val="32"/>
          <w:shd w:val="clear" w:color="auto" w:fill="FFFFFF"/>
        </w:rPr>
        <w:t>加快</w:t>
      </w:r>
      <w:r w:rsidRPr="00C67CF5">
        <w:rPr>
          <w:rFonts w:ascii="仿宋_GB2312" w:eastAsia="仿宋_GB2312" w:hAnsi="??_GB2312" w:cs="宋体" w:hint="eastAsia"/>
          <w:bCs/>
          <w:spacing w:val="6"/>
          <w:kern w:val="0"/>
          <w:sz w:val="32"/>
          <w:szCs w:val="32"/>
          <w:lang w:val="zh-CN"/>
        </w:rPr>
        <w:t>回收机具研发。</w:t>
      </w:r>
      <w:r w:rsidRPr="00C67CF5">
        <w:rPr>
          <w:rFonts w:ascii="仿宋_GB2312" w:eastAsia="仿宋_GB2312" w:hAnsi="仿宋" w:hint="eastAsia"/>
          <w:color w:val="000000" w:themeColor="text1"/>
          <w:spacing w:val="6"/>
          <w:sz w:val="32"/>
          <w:szCs w:val="32"/>
        </w:rPr>
        <w:t>通辽市、赤峰市、乌兰察布市、呼和浩特市、巴彦淖尔市等覆膜重点地区，各选择1个回收处理利用示范旗县，</w:t>
      </w:r>
      <w:r w:rsidRPr="00C67CF5">
        <w:rPr>
          <w:rFonts w:ascii="仿宋_GB2312" w:eastAsia="仿宋_GB2312" w:hAnsi="??_GB2312" w:cs="宋体" w:hint="eastAsia"/>
          <w:bCs/>
          <w:color w:val="000000" w:themeColor="text1"/>
          <w:spacing w:val="6"/>
          <w:kern w:val="0"/>
          <w:sz w:val="32"/>
          <w:szCs w:val="32"/>
          <w:lang w:val="zh-CN"/>
        </w:rPr>
        <w:t>委托有关科研院所或企事业单位就本地主要覆膜作物回收机具</w:t>
      </w:r>
      <w:r w:rsidRPr="00C67CF5">
        <w:rPr>
          <w:rFonts w:ascii="仿宋_GB2312" w:eastAsia="仿宋_GB2312" w:hAnsi="仿宋" w:hint="eastAsia"/>
          <w:color w:val="000000" w:themeColor="text1"/>
          <w:spacing w:val="6"/>
          <w:sz w:val="32"/>
          <w:szCs w:val="32"/>
        </w:rPr>
        <w:t>继续</w:t>
      </w:r>
      <w:r w:rsidRPr="00C67CF5">
        <w:rPr>
          <w:rFonts w:ascii="仿宋_GB2312" w:eastAsia="仿宋_GB2312" w:hAnsi="??_GB2312" w:cs="宋体" w:hint="eastAsia"/>
          <w:bCs/>
          <w:color w:val="000000" w:themeColor="text1"/>
          <w:spacing w:val="6"/>
          <w:kern w:val="0"/>
          <w:sz w:val="32"/>
          <w:szCs w:val="32"/>
          <w:lang w:val="zh-CN"/>
        </w:rPr>
        <w:t>进行研发、改造、升级，至少研发出1款成熟的地膜回收机具，进一步提升地膜回收能力，提高回收效率。要广泛推广地膜机械回收技术，开展机械回收服务，降低人工捡拾劳动强度</w:t>
      </w:r>
      <w:r>
        <w:rPr>
          <w:rFonts w:ascii="仿宋_GB2312" w:eastAsia="仿宋_GB2312" w:hAnsi="??_GB2312" w:cs="宋体" w:hint="eastAsia"/>
          <w:color w:val="000000" w:themeColor="text1"/>
          <w:kern w:val="0"/>
          <w:sz w:val="32"/>
          <w:szCs w:val="32"/>
          <w:lang w:val="zh-CN"/>
        </w:rPr>
        <w:t xml:space="preserve">。 </w:t>
      </w:r>
      <w:r>
        <w:rPr>
          <w:rFonts w:ascii="仿宋_GB2312" w:eastAsia="仿宋_GB2312" w:hAnsi="??_GB2312" w:cs="宋体"/>
          <w:color w:val="000000" w:themeColor="text1"/>
          <w:kern w:val="0"/>
          <w:sz w:val="32"/>
          <w:szCs w:val="32"/>
          <w:lang w:val="zh-CN"/>
        </w:rPr>
        <w:t xml:space="preserve"> </w:t>
      </w: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color w:val="000000" w:themeColor="text1"/>
          <w:sz w:val="32"/>
          <w:szCs w:val="32"/>
        </w:rPr>
        <w:t>回收利用示范旗县要</w:t>
      </w:r>
      <w:r>
        <w:rPr>
          <w:rFonts w:ascii="仿宋_GB2312" w:eastAsia="仿宋_GB2312" w:hint="eastAsia"/>
          <w:sz w:val="32"/>
          <w:szCs w:val="32"/>
        </w:rPr>
        <w:t>通过改进农艺措施，</w:t>
      </w:r>
      <w:r>
        <w:rPr>
          <w:rFonts w:ascii="仿宋_GB2312" w:eastAsia="仿宋_GB2312" w:hAnsi="??_GB2312" w:cs="宋体" w:hint="eastAsia"/>
          <w:color w:val="000000" w:themeColor="text1"/>
          <w:kern w:val="0"/>
          <w:sz w:val="32"/>
          <w:szCs w:val="32"/>
          <w:lang w:val="zh-CN"/>
        </w:rPr>
        <w:t>研究示范推广无膜浅埋滴灌水肥一体化技术、机械化育苗移栽地膜替代技术等地膜减量技术，做好不同厚度地膜回收效率对比实验、</w:t>
      </w:r>
      <w:r>
        <w:rPr>
          <w:rFonts w:ascii="仿宋_GB2312" w:eastAsia="仿宋_GB2312" w:hAnsi="宋体" w:cs="宋体" w:hint="eastAsia"/>
          <w:color w:val="000000" w:themeColor="text1"/>
          <w:kern w:val="0"/>
          <w:sz w:val="32"/>
          <w:szCs w:val="32"/>
          <w:shd w:val="clear" w:color="auto" w:fill="FFFFFF"/>
        </w:rPr>
        <w:t>主要农作物地膜覆盖适宜性研究，促进地膜覆盖技术合理利用。</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方正楷体_GBK" w:cs="方正楷体_GBK" w:hint="eastAsia"/>
          <w:bCs/>
          <w:kern w:val="0"/>
          <w:sz w:val="32"/>
          <w:szCs w:val="32"/>
          <w:lang w:val="zh-CN"/>
        </w:rPr>
        <w:t>（五）严格资金管理</w:t>
      </w:r>
    </w:p>
    <w:p w:rsidR="00EC353A" w:rsidRDefault="00A21842" w:rsidP="00C67CF5">
      <w:pPr>
        <w:adjustRightInd w:val="0"/>
        <w:snapToGrid w:val="0"/>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项目实施单位要严格遵守中央财政项目资金有关规定，加强资金监管力度，按照“谁使用谁负责”的基本原则，细化支出范围，明确资金用途，严格招投标程序，按照项目进度及时拨付资金，确保专款专用，严禁弄虚作假、挤占挪用。项目经费不得用</w:t>
      </w:r>
      <w:r>
        <w:rPr>
          <w:rFonts w:ascii="仿宋_GB2312" w:eastAsia="仿宋_GB2312" w:hAnsi="华文仿宋" w:hint="eastAsia"/>
          <w:sz w:val="32"/>
          <w:szCs w:val="32"/>
        </w:rPr>
        <w:lastRenderedPageBreak/>
        <w:t>于工作经费。</w:t>
      </w:r>
    </w:p>
    <w:p w:rsidR="00EC353A" w:rsidRDefault="00A21842" w:rsidP="00C67CF5">
      <w:pPr>
        <w:adjustRightInd w:val="0"/>
        <w:snapToGrid w:val="0"/>
        <w:spacing w:line="600" w:lineRule="exact"/>
        <w:ind w:firstLineChars="200" w:firstLine="640"/>
        <w:rPr>
          <w:rFonts w:ascii="楷体_GB2312" w:eastAsia="楷体_GB2312" w:hAnsi="方正仿宋_GBK" w:cs="方正仿宋_GBK"/>
          <w:bCs/>
          <w:color w:val="000000" w:themeColor="text1"/>
          <w:kern w:val="0"/>
          <w:sz w:val="32"/>
          <w:szCs w:val="32"/>
          <w:lang w:val="zh-CN"/>
        </w:rPr>
      </w:pPr>
      <w:r>
        <w:rPr>
          <w:rFonts w:ascii="楷体_GB2312" w:eastAsia="楷体_GB2312" w:hAnsi="方正仿宋_GBK" w:cs="方正仿宋_GBK" w:hint="eastAsia"/>
          <w:bCs/>
          <w:color w:val="000000" w:themeColor="text1"/>
          <w:kern w:val="0"/>
          <w:sz w:val="32"/>
          <w:szCs w:val="32"/>
        </w:rPr>
        <w:t>（六）</w:t>
      </w:r>
      <w:r>
        <w:rPr>
          <w:rFonts w:ascii="楷体_GB2312" w:eastAsia="楷体_GB2312" w:hAnsi="方正仿宋_GBK" w:cs="方正仿宋_GBK" w:hint="eastAsia"/>
          <w:bCs/>
          <w:color w:val="000000" w:themeColor="text1"/>
          <w:kern w:val="0"/>
          <w:sz w:val="32"/>
          <w:szCs w:val="32"/>
          <w:lang w:val="zh-CN"/>
        </w:rPr>
        <w:t>健全台账档案</w:t>
      </w:r>
    </w:p>
    <w:p w:rsidR="00EC353A" w:rsidRDefault="00A21842" w:rsidP="00C67CF5">
      <w:pPr>
        <w:adjustRightInd w:val="0"/>
        <w:snapToGrid w:val="0"/>
        <w:spacing w:line="600" w:lineRule="exact"/>
        <w:ind w:firstLineChars="200" w:firstLine="640"/>
        <w:rPr>
          <w:rFonts w:ascii="仿宋_GB2312" w:eastAsia="仿宋_GB2312" w:hAnsi="华文仿宋"/>
          <w:color w:val="000000" w:themeColor="text1"/>
          <w:sz w:val="32"/>
          <w:szCs w:val="32"/>
        </w:rPr>
      </w:pPr>
      <w:r>
        <w:rPr>
          <w:rFonts w:ascii="仿宋_GB2312" w:eastAsia="仿宋_GB2312" w:hAnsi="仿宋" w:hint="eastAsia"/>
          <w:color w:val="000000" w:themeColor="text1"/>
          <w:sz w:val="32"/>
          <w:szCs w:val="32"/>
        </w:rPr>
        <w:t>项目旗县</w:t>
      </w:r>
      <w:r>
        <w:rPr>
          <w:rFonts w:ascii="仿宋_GB2312" w:eastAsia="仿宋_GB2312" w:hAnsi="华文仿宋" w:hint="eastAsia"/>
          <w:color w:val="000000" w:themeColor="text1"/>
          <w:sz w:val="32"/>
          <w:szCs w:val="32"/>
        </w:rPr>
        <w:t>按照项目总体要求和建设内容，建立健全工作台账和项目档案。主要包括立项相关文件、配套政策措施、项目开展情况、技术实验研究、典型模式总结、简报信息、督查宣传等资料和内容，项目实施的每个过程、环节和步骤必须留下相关的影像资料或证明材料，并进行分类归档，以便考核验收。</w:t>
      </w:r>
    </w:p>
    <w:p w:rsidR="00EC353A" w:rsidRDefault="00A21842" w:rsidP="00C67CF5">
      <w:pPr>
        <w:adjustRightInd w:val="0"/>
        <w:snapToGrid w:val="0"/>
        <w:spacing w:line="600" w:lineRule="exact"/>
        <w:ind w:firstLineChars="200" w:firstLine="640"/>
        <w:rPr>
          <w:rFonts w:ascii="楷体_GB2312" w:eastAsia="楷体_GB2312" w:hAnsi="方正仿宋_GBK" w:cs="方正仿宋_GBK"/>
          <w:bCs/>
          <w:color w:val="000000" w:themeColor="text1"/>
          <w:kern w:val="0"/>
          <w:sz w:val="32"/>
          <w:szCs w:val="32"/>
        </w:rPr>
      </w:pPr>
      <w:r>
        <w:rPr>
          <w:rFonts w:ascii="楷体_GB2312" w:eastAsia="楷体_GB2312" w:hAnsi="方正仿宋_GBK" w:cs="方正仿宋_GBK" w:hint="eastAsia"/>
          <w:bCs/>
          <w:color w:val="000000" w:themeColor="text1"/>
          <w:kern w:val="0"/>
          <w:sz w:val="32"/>
          <w:szCs w:val="32"/>
        </w:rPr>
        <w:t>（七）及时提交总结报告</w:t>
      </w:r>
    </w:p>
    <w:p w:rsidR="00EC353A" w:rsidRDefault="00A21842" w:rsidP="00C67CF5">
      <w:pPr>
        <w:adjustRightInd w:val="0"/>
        <w:snapToGrid w:val="0"/>
        <w:spacing w:line="600" w:lineRule="exact"/>
        <w:ind w:firstLineChars="200" w:firstLine="640"/>
        <w:rPr>
          <w:rFonts w:ascii="仿宋_GB2312" w:eastAsia="仿宋_GB2312" w:hAnsi="方正楷体_GBK" w:cs="方正楷体_GBK"/>
          <w:b/>
          <w:bCs/>
          <w:color w:val="000000" w:themeColor="text1"/>
          <w:kern w:val="0"/>
          <w:sz w:val="32"/>
          <w:szCs w:val="32"/>
        </w:rPr>
      </w:pPr>
      <w:r>
        <w:rPr>
          <w:rFonts w:ascii="仿宋_GB2312" w:eastAsia="仿宋_GB2312" w:hAnsi="仿宋" w:hint="eastAsia"/>
          <w:color w:val="000000" w:themeColor="text1"/>
          <w:sz w:val="32"/>
          <w:szCs w:val="32"/>
        </w:rPr>
        <w:t>项目旗县在全部实施完毕后，对工作及时形成项目总结报告，并以正式文件形式逐级上报至自治区农牧厅，同时抄报自治区农村生态能源环保站，</w:t>
      </w:r>
      <w:hyperlink r:id="rId10" w:history="1">
        <w:r>
          <w:rPr>
            <w:rStyle w:val="a7"/>
            <w:rFonts w:ascii="仿宋_GB2312" w:eastAsia="仿宋_GB2312" w:hAnsi="仿宋" w:hint="eastAsia"/>
            <w:color w:val="000000" w:themeColor="text1"/>
            <w:sz w:val="32"/>
            <w:szCs w:val="32"/>
            <w:u w:val="none"/>
          </w:rPr>
          <w:t>电子版发送至nmnyhb@163.com</w:t>
        </w:r>
      </w:hyperlink>
      <w:r>
        <w:rPr>
          <w:rFonts w:ascii="仿宋_GB2312" w:eastAsia="仿宋_GB2312" w:hAnsi="仿宋" w:hint="eastAsia"/>
          <w:color w:val="000000" w:themeColor="text1"/>
          <w:sz w:val="32"/>
          <w:szCs w:val="32"/>
        </w:rPr>
        <w:t>。</w:t>
      </w:r>
    </w:p>
    <w:p w:rsidR="00EC353A" w:rsidRDefault="00A21842" w:rsidP="00C67CF5">
      <w:pPr>
        <w:autoSpaceDE w:val="0"/>
        <w:autoSpaceDN w:val="0"/>
        <w:adjustRightInd w:val="0"/>
        <w:snapToGrid w:val="0"/>
        <w:spacing w:line="600" w:lineRule="exact"/>
        <w:ind w:firstLineChars="200" w:firstLine="640"/>
        <w:rPr>
          <w:rFonts w:ascii="楷体_GB2312" w:eastAsia="楷体_GB2312" w:hAnsi="仿宋"/>
          <w:bCs/>
          <w:color w:val="000000" w:themeColor="text1"/>
          <w:sz w:val="32"/>
          <w:szCs w:val="32"/>
        </w:rPr>
      </w:pPr>
      <w:r>
        <w:rPr>
          <w:rFonts w:ascii="楷体_GB2312" w:eastAsia="楷体_GB2312" w:hAnsi="仿宋" w:hint="eastAsia"/>
          <w:bCs/>
          <w:color w:val="000000" w:themeColor="text1"/>
          <w:sz w:val="32"/>
          <w:szCs w:val="32"/>
        </w:rPr>
        <w:t>（八）开展地膜回收利用项目绩效评估工作</w:t>
      </w:r>
    </w:p>
    <w:p w:rsidR="00EC353A" w:rsidRDefault="00A21842" w:rsidP="00C67CF5">
      <w:pPr>
        <w:adjustRightInd w:val="0"/>
        <w:snapToGrid w:val="0"/>
        <w:spacing w:line="600" w:lineRule="exact"/>
        <w:ind w:firstLineChars="200" w:firstLine="640"/>
        <w:rPr>
          <w:rFonts w:ascii="仿宋_GB2312" w:eastAsia="仿宋_GB2312" w:hAnsi="华文仿宋"/>
          <w:sz w:val="32"/>
          <w:szCs w:val="32"/>
        </w:rPr>
      </w:pPr>
      <w:r>
        <w:rPr>
          <w:rFonts w:ascii="仿宋_GB2312" w:eastAsia="仿宋_GB2312" w:hAnsi="仿宋" w:hint="eastAsia"/>
          <w:color w:val="000000" w:themeColor="text1"/>
          <w:sz w:val="32"/>
          <w:szCs w:val="32"/>
        </w:rPr>
        <w:t>各盟市要对旗县</w:t>
      </w:r>
      <w:r>
        <w:rPr>
          <w:rFonts w:ascii="仿宋_GB2312" w:eastAsia="仿宋_GB2312" w:hAnsi="仿宋"/>
          <w:color w:val="000000" w:themeColor="text1"/>
          <w:sz w:val="32"/>
          <w:szCs w:val="32"/>
        </w:rPr>
        <w:t>项目</w:t>
      </w:r>
      <w:r>
        <w:rPr>
          <w:rFonts w:ascii="仿宋_GB2312" w:eastAsia="仿宋_GB2312" w:hAnsi="仿宋" w:hint="eastAsia"/>
          <w:color w:val="000000" w:themeColor="text1"/>
          <w:sz w:val="32"/>
          <w:szCs w:val="32"/>
        </w:rPr>
        <w:t>执行情况</w:t>
      </w:r>
      <w:r>
        <w:rPr>
          <w:rFonts w:ascii="仿宋_GB2312" w:eastAsia="仿宋_GB2312" w:hAnsi="仿宋"/>
          <w:color w:val="000000" w:themeColor="text1"/>
          <w:sz w:val="32"/>
          <w:szCs w:val="32"/>
        </w:rPr>
        <w:t>进行年度绩效考核评估，对项目实施方案、完成情况、组织领导、资金管理使用、工作台账等档案资料进行全面考核评估</w:t>
      </w:r>
      <w:r>
        <w:rPr>
          <w:rFonts w:ascii="仿宋_GB2312" w:eastAsia="仿宋_GB2312" w:hAnsi="仿宋" w:hint="eastAsia"/>
          <w:color w:val="000000" w:themeColor="text1"/>
          <w:sz w:val="32"/>
          <w:szCs w:val="32"/>
        </w:rPr>
        <w:t>。考核结果及时反馈自治区。自治区将对上报的考评结果进行抽查。</w:t>
      </w:r>
    </w:p>
    <w:p w:rsidR="00EC353A" w:rsidRDefault="00A21842" w:rsidP="00C67CF5">
      <w:pPr>
        <w:adjustRightInd w:val="0"/>
        <w:snapToGrid w:val="0"/>
        <w:spacing w:line="600" w:lineRule="exact"/>
        <w:ind w:firstLineChars="200" w:firstLine="640"/>
        <w:outlineLvl w:val="1"/>
        <w:rPr>
          <w:rFonts w:ascii="楷体_GB2312" w:eastAsia="楷体_GB2312" w:hAnsi="方正楷体_GBK" w:cs="方正楷体_GBK"/>
          <w:bCs/>
          <w:kern w:val="0"/>
          <w:sz w:val="32"/>
          <w:szCs w:val="32"/>
          <w:lang w:val="zh-CN"/>
        </w:rPr>
      </w:pPr>
      <w:r>
        <w:rPr>
          <w:rFonts w:ascii="楷体_GB2312" w:eastAsia="楷体_GB2312" w:hAnsi="仿宋" w:hint="eastAsia"/>
          <w:bCs/>
          <w:color w:val="000000" w:themeColor="text1"/>
          <w:sz w:val="32"/>
          <w:szCs w:val="32"/>
          <w:lang w:val="zh-CN"/>
        </w:rPr>
        <w:t>（九）</w:t>
      </w:r>
      <w:r>
        <w:rPr>
          <w:rFonts w:ascii="楷体_GB2312" w:eastAsia="楷体_GB2312" w:hAnsi="方正楷体_GBK" w:cs="方正楷体_GBK" w:hint="eastAsia"/>
          <w:bCs/>
          <w:kern w:val="0"/>
          <w:sz w:val="32"/>
          <w:szCs w:val="32"/>
          <w:lang w:val="zh-CN"/>
        </w:rPr>
        <w:t>加大宣传引导</w:t>
      </w:r>
    </w:p>
    <w:p w:rsidR="00EC353A" w:rsidRDefault="00A21842" w:rsidP="00C67CF5">
      <w:pPr>
        <w:adjustRightInd w:val="0"/>
        <w:snapToGrid w:val="0"/>
        <w:spacing w:line="600" w:lineRule="exact"/>
        <w:ind w:firstLineChars="200" w:firstLine="640"/>
        <w:rPr>
          <w:rFonts w:ascii="仿宋_GB2312" w:eastAsia="仿宋_GB2312"/>
          <w:sz w:val="32"/>
          <w:szCs w:val="32"/>
        </w:rPr>
      </w:pPr>
      <w:r>
        <w:rPr>
          <w:rFonts w:ascii="Times New Roman" w:eastAsia="仿宋_GB2312" w:hAnsi="Times New Roman" w:cs="仿宋_GB2312" w:hint="eastAsia"/>
          <w:kern w:val="0"/>
          <w:sz w:val="32"/>
          <w:szCs w:val="32"/>
        </w:rPr>
        <w:t>各盟市、项目旗县每年集中开展地膜回收宣传行动，结合《中华人民共和国土壤污染防治法》</w:t>
      </w:r>
      <w:bookmarkStart w:id="1" w:name="_GoBack"/>
      <w:bookmarkEnd w:id="1"/>
      <w:r>
        <w:rPr>
          <w:rFonts w:ascii="Times New Roman" w:eastAsia="仿宋_GB2312" w:hAnsi="Times New Roman" w:cs="仿宋_GB2312" w:hint="eastAsia"/>
          <w:kern w:val="0"/>
          <w:sz w:val="32"/>
          <w:szCs w:val="32"/>
        </w:rPr>
        <w:t>《中华人民共和国环境保护法》和《农用薄膜管理办法》等法律法规的政策宣传、解读，开展地膜污染防治宣传，切实提高全民对残膜污染危害和残膜回收重要</w:t>
      </w:r>
      <w:r>
        <w:rPr>
          <w:rFonts w:ascii="Times New Roman" w:eastAsia="仿宋_GB2312" w:hAnsi="Times New Roman" w:cs="仿宋_GB2312" w:hint="eastAsia"/>
          <w:kern w:val="0"/>
          <w:sz w:val="32"/>
          <w:szCs w:val="32"/>
        </w:rPr>
        <w:lastRenderedPageBreak/>
        <w:t>性的认识，</w:t>
      </w:r>
      <w:r>
        <w:rPr>
          <w:rFonts w:ascii="仿宋_GB2312" w:eastAsia="仿宋_GB2312" w:hint="eastAsia"/>
          <w:sz w:val="32"/>
          <w:szCs w:val="32"/>
        </w:rPr>
        <w:t>要借助各种媒体，广泛宣传地膜残留污染危害和回收与利用好处，营造社会氛围，增强地膜生产者、销售者、使用者、回收者、监管者自觉履行社会责任的积极性和主动性。</w:t>
      </w:r>
    </w:p>
    <w:p w:rsidR="00EC353A" w:rsidRDefault="00EC353A" w:rsidP="00C67CF5">
      <w:pPr>
        <w:adjustRightInd w:val="0"/>
        <w:snapToGrid w:val="0"/>
        <w:spacing w:line="600" w:lineRule="exact"/>
        <w:ind w:firstLineChars="200" w:firstLine="640"/>
        <w:rPr>
          <w:rFonts w:ascii="仿宋_GB2312" w:eastAsia="仿宋_GB2312" w:hAnsi="仿宋"/>
          <w:color w:val="000000" w:themeColor="text1"/>
          <w:sz w:val="32"/>
          <w:szCs w:val="32"/>
        </w:rPr>
      </w:pPr>
    </w:p>
    <w:p w:rsidR="00EC353A" w:rsidRDefault="00A21842" w:rsidP="00C67CF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附：1.2021年废旧地膜回收利用示范县任务分配情况表</w:t>
      </w:r>
    </w:p>
    <w:p w:rsidR="00EC353A" w:rsidRDefault="00A21842" w:rsidP="00C67CF5">
      <w:pPr>
        <w:adjustRightInd w:val="0"/>
        <w:snapToGrid w:val="0"/>
        <w:spacing w:line="600" w:lineRule="exact"/>
        <w:ind w:firstLineChars="400" w:firstLine="1280"/>
        <w:rPr>
          <w:rFonts w:ascii="仿宋_GB2312" w:eastAsia="仿宋_GB2312" w:hAnsi="仿宋"/>
          <w:sz w:val="32"/>
          <w:szCs w:val="32"/>
        </w:rPr>
      </w:pPr>
      <w:r>
        <w:rPr>
          <w:rFonts w:ascii="仿宋_GB2312" w:eastAsia="仿宋_GB2312" w:hAnsi="仿宋" w:hint="eastAsia"/>
          <w:sz w:val="32"/>
          <w:szCs w:val="32"/>
        </w:rPr>
        <w:t>2.2021年废旧地膜回收利用示范县项目实施方案</w:t>
      </w:r>
    </w:p>
    <w:p w:rsidR="00EC353A" w:rsidRDefault="00A21842" w:rsidP="00C67CF5">
      <w:pPr>
        <w:adjustRightInd w:val="0"/>
        <w:snapToGrid w:val="0"/>
        <w:spacing w:line="600" w:lineRule="exact"/>
        <w:ind w:firstLineChars="400" w:firstLine="1280"/>
        <w:rPr>
          <w:rFonts w:ascii="仿宋_GB2312" w:eastAsia="仿宋_GB2312" w:hAnsi="仿宋"/>
          <w:sz w:val="32"/>
          <w:szCs w:val="32"/>
        </w:rPr>
      </w:pPr>
      <w:r>
        <w:rPr>
          <w:rFonts w:ascii="仿宋_GB2312" w:eastAsia="仿宋_GB2312" w:hAnsi="仿宋" w:hint="eastAsia"/>
          <w:sz w:val="32"/>
          <w:szCs w:val="32"/>
        </w:rPr>
        <w:t>（编写提纲）</w:t>
      </w:r>
    </w:p>
    <w:p w:rsidR="00EC353A" w:rsidRDefault="00A21842" w:rsidP="00C67CF5">
      <w:pPr>
        <w:adjustRightInd w:val="0"/>
        <w:snapToGrid w:val="0"/>
        <w:spacing w:line="600" w:lineRule="exact"/>
        <w:ind w:left="960" w:firstLineChars="100" w:firstLine="320"/>
        <w:rPr>
          <w:rFonts w:ascii="仿宋_GB2312" w:eastAsia="仿宋_GB2312" w:hAnsi="仿宋"/>
          <w:sz w:val="32"/>
          <w:szCs w:val="32"/>
        </w:rPr>
      </w:pPr>
      <w:r>
        <w:rPr>
          <w:rFonts w:ascii="仿宋_GB2312" w:eastAsia="仿宋_GB2312" w:hAnsi="仿宋" w:hint="eastAsia"/>
          <w:sz w:val="32"/>
          <w:szCs w:val="32"/>
        </w:rPr>
        <w:t>3.废旧地膜回收利用示范县建设项目绩效考核指标及</w:t>
      </w:r>
    </w:p>
    <w:p w:rsidR="00EC353A" w:rsidRDefault="00A21842" w:rsidP="00C67CF5">
      <w:pPr>
        <w:adjustRightInd w:val="0"/>
        <w:snapToGrid w:val="0"/>
        <w:spacing w:line="600" w:lineRule="exact"/>
        <w:ind w:left="960" w:firstLineChars="200" w:firstLine="640"/>
        <w:rPr>
          <w:rFonts w:ascii="仿宋_GB2312" w:eastAsia="仿宋_GB2312" w:hAnsi="仿宋"/>
          <w:sz w:val="32"/>
          <w:szCs w:val="32"/>
        </w:rPr>
      </w:pPr>
      <w:r>
        <w:rPr>
          <w:rFonts w:ascii="仿宋_GB2312" w:eastAsia="仿宋_GB2312" w:hAnsi="仿宋" w:hint="eastAsia"/>
          <w:sz w:val="32"/>
          <w:szCs w:val="32"/>
        </w:rPr>
        <w:t>赋值</w:t>
      </w:r>
    </w:p>
    <w:p w:rsidR="00EC353A" w:rsidRDefault="00A21842" w:rsidP="00C67CF5">
      <w:pPr>
        <w:adjustRightInd w:val="0"/>
        <w:snapToGrid w:val="0"/>
        <w:spacing w:line="600" w:lineRule="exact"/>
        <w:ind w:left="2400" w:hangingChars="750" w:hanging="2400"/>
        <w:rPr>
          <w:rFonts w:ascii="黑体" w:eastAsia="黑体" w:hAnsi="黑体" w:cs="Times New Roman"/>
          <w:sz w:val="32"/>
          <w:szCs w:val="32"/>
        </w:rPr>
      </w:pPr>
      <w:r>
        <w:rPr>
          <w:rFonts w:ascii="黑体" w:eastAsia="黑体" w:hAnsi="黑体" w:cs="Times New Roman"/>
          <w:sz w:val="32"/>
          <w:szCs w:val="32"/>
        </w:rPr>
        <w:br w:type="page"/>
      </w:r>
    </w:p>
    <w:p w:rsidR="00EC353A" w:rsidRDefault="00A21842" w:rsidP="00C67CF5">
      <w:pPr>
        <w:spacing w:line="600" w:lineRule="exact"/>
        <w:rPr>
          <w:rFonts w:ascii="黑体" w:eastAsia="黑体" w:hAnsi="黑体" w:cs="Times New Roman"/>
          <w:sz w:val="32"/>
          <w:szCs w:val="32"/>
        </w:rPr>
      </w:pPr>
      <w:r>
        <w:rPr>
          <w:rFonts w:ascii="黑体" w:eastAsia="黑体" w:hAnsi="黑体" w:cs="Times New Roman" w:hint="eastAsia"/>
          <w:sz w:val="32"/>
          <w:szCs w:val="32"/>
        </w:rPr>
        <w:lastRenderedPageBreak/>
        <w:t>附</w:t>
      </w:r>
      <w:r>
        <w:rPr>
          <w:rFonts w:ascii="黑体" w:eastAsia="黑体" w:hAnsi="黑体" w:cs="Times New Roman"/>
          <w:sz w:val="32"/>
          <w:szCs w:val="32"/>
        </w:rPr>
        <w:t>1</w:t>
      </w:r>
    </w:p>
    <w:p w:rsidR="00EC353A" w:rsidRDefault="00A21842" w:rsidP="00C67CF5">
      <w:pPr>
        <w:spacing w:line="600" w:lineRule="exact"/>
        <w:jc w:val="center"/>
        <w:rPr>
          <w:rFonts w:ascii="方正小标宋简体" w:eastAsia="方正小标宋简体" w:hAnsi="仿宋" w:cs="Times New Roman"/>
          <w:sz w:val="36"/>
          <w:szCs w:val="36"/>
        </w:rPr>
      </w:pPr>
      <w:r>
        <w:rPr>
          <w:rFonts w:ascii="方正小标宋简体" w:eastAsia="方正小标宋简体" w:hAnsi="仿宋" w:cs="Times New Roman" w:hint="eastAsia"/>
          <w:sz w:val="36"/>
          <w:szCs w:val="36"/>
        </w:rPr>
        <w:t>2021年废旧地膜回收利用示范县任务分配情况表</w:t>
      </w:r>
    </w:p>
    <w:p w:rsidR="00C67CF5" w:rsidRDefault="00C67CF5" w:rsidP="00C67CF5">
      <w:pPr>
        <w:spacing w:line="600" w:lineRule="exact"/>
        <w:jc w:val="center"/>
        <w:rPr>
          <w:rFonts w:ascii="方正小标宋简体" w:eastAsia="方正小标宋简体" w:hAnsi="仿宋" w:cs="Times New Roman"/>
          <w:sz w:val="36"/>
          <w:szCs w:val="36"/>
        </w:rPr>
      </w:pPr>
    </w:p>
    <w:tbl>
      <w:tblPr>
        <w:tblW w:w="8882" w:type="dxa"/>
        <w:jc w:val="center"/>
        <w:tblCellMar>
          <w:left w:w="0" w:type="dxa"/>
          <w:right w:w="0" w:type="dxa"/>
        </w:tblCellMar>
        <w:tblLook w:val="04A0"/>
      </w:tblPr>
      <w:tblGrid>
        <w:gridCol w:w="2607"/>
        <w:gridCol w:w="1168"/>
        <w:gridCol w:w="2277"/>
        <w:gridCol w:w="2830"/>
      </w:tblGrid>
      <w:tr w:rsidR="00EC353A">
        <w:trPr>
          <w:trHeight w:val="462"/>
          <w:jc w:val="center"/>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项目名称</w:t>
            </w:r>
          </w:p>
        </w:tc>
        <w:tc>
          <w:tcPr>
            <w:tcW w:w="116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序号</w:t>
            </w:r>
          </w:p>
        </w:tc>
        <w:tc>
          <w:tcPr>
            <w:tcW w:w="227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盟市</w:t>
            </w:r>
          </w:p>
        </w:tc>
        <w:tc>
          <w:tcPr>
            <w:tcW w:w="2830"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旗县数量（名称）</w:t>
            </w:r>
          </w:p>
        </w:tc>
      </w:tr>
      <w:tr w:rsidR="00EC353A">
        <w:trPr>
          <w:trHeight w:val="462"/>
          <w:jc w:val="center"/>
        </w:trPr>
        <w:tc>
          <w:tcPr>
            <w:tcW w:w="260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地膜回收利用示范县</w:t>
            </w: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1</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通辽市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1</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2</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赤峰市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3</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3</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乌兰察布市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3</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4</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呼和浩特市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2</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5</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巴彦淖尔市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4</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包头市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7</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鄂尔多斯市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3445"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小计</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15</w:t>
            </w:r>
          </w:p>
        </w:tc>
      </w:tr>
      <w:tr w:rsidR="00EC353A">
        <w:trPr>
          <w:trHeight w:val="462"/>
          <w:jc w:val="center"/>
        </w:trPr>
        <w:tc>
          <w:tcPr>
            <w:tcW w:w="260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农膜回收区域补偿制度和绿色发展综合试点</w:t>
            </w: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1</w:t>
            </w:r>
          </w:p>
        </w:tc>
        <w:tc>
          <w:tcPr>
            <w:tcW w:w="2277"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巴彦淖尔市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五原县</w:t>
            </w:r>
          </w:p>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18"/>
                <w:szCs w:val="18"/>
              </w:rPr>
              <w:t>（农膜回收区域补偿制度试点）</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2</w:t>
            </w:r>
          </w:p>
        </w:tc>
        <w:tc>
          <w:tcPr>
            <w:tcW w:w="2277"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杭锦后旗</w:t>
            </w:r>
          </w:p>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18"/>
                <w:szCs w:val="18"/>
              </w:rPr>
              <w:t>（绿色发展综合试点）</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3</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通辽市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开鲁县</w:t>
            </w:r>
          </w:p>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18"/>
                <w:szCs w:val="18"/>
              </w:rPr>
              <w:t>（农膜回收区域补偿制度试点）</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3445"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小计</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3</w:t>
            </w:r>
          </w:p>
        </w:tc>
      </w:tr>
      <w:tr w:rsidR="00EC353A">
        <w:trPr>
          <w:trHeight w:val="462"/>
          <w:jc w:val="center"/>
        </w:trPr>
        <w:tc>
          <w:tcPr>
            <w:tcW w:w="2607"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全生物降解地膜试验示范</w:t>
            </w:r>
          </w:p>
        </w:tc>
        <w:tc>
          <w:tcPr>
            <w:tcW w:w="1168"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1</w:t>
            </w:r>
          </w:p>
        </w:tc>
        <w:tc>
          <w:tcPr>
            <w:tcW w:w="2277"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兴安盟</w:t>
            </w:r>
          </w:p>
        </w:tc>
        <w:tc>
          <w:tcPr>
            <w:tcW w:w="2830" w:type="dxa"/>
            <w:tcBorders>
              <w:top w:val="single" w:sz="4" w:space="0" w:color="auto"/>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1</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2</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通辽市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1</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3</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赤峰市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2</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4</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乌兰察布市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1</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11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5</w:t>
            </w:r>
          </w:p>
        </w:tc>
        <w:tc>
          <w:tcPr>
            <w:tcW w:w="22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巴彦淖尔市</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2</w:t>
            </w:r>
          </w:p>
        </w:tc>
      </w:tr>
      <w:tr w:rsidR="00EC353A">
        <w:trPr>
          <w:trHeight w:val="462"/>
          <w:jc w:val="center"/>
        </w:trPr>
        <w:tc>
          <w:tcPr>
            <w:tcW w:w="260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C353A" w:rsidRDefault="00EC353A" w:rsidP="00C67CF5">
            <w:pPr>
              <w:spacing w:line="400" w:lineRule="exact"/>
              <w:jc w:val="center"/>
              <w:rPr>
                <w:rFonts w:ascii="仿宋_GB2312" w:eastAsia="仿宋_GB2312" w:hAnsi="宋体" w:cs="宋体"/>
                <w:color w:val="000000"/>
                <w:sz w:val="24"/>
                <w:szCs w:val="24"/>
              </w:rPr>
            </w:pPr>
          </w:p>
        </w:tc>
        <w:tc>
          <w:tcPr>
            <w:tcW w:w="3445"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小计</w:t>
            </w:r>
          </w:p>
        </w:tc>
        <w:tc>
          <w:tcPr>
            <w:tcW w:w="283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EC353A" w:rsidRDefault="00A21842" w:rsidP="00C67CF5">
            <w:pPr>
              <w:widowControl/>
              <w:spacing w:line="400" w:lineRule="exact"/>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7</w:t>
            </w:r>
          </w:p>
        </w:tc>
      </w:tr>
    </w:tbl>
    <w:p w:rsidR="00EC353A" w:rsidRDefault="00EC353A" w:rsidP="00C67CF5">
      <w:pPr>
        <w:spacing w:line="600" w:lineRule="exact"/>
        <w:rPr>
          <w:rFonts w:ascii="黑体" w:eastAsia="黑体" w:hAnsi="黑体" w:cs="Times New Roman"/>
          <w:sz w:val="32"/>
          <w:szCs w:val="32"/>
        </w:rPr>
      </w:pPr>
    </w:p>
    <w:p w:rsidR="00EC353A" w:rsidRDefault="00A21842" w:rsidP="00C67CF5">
      <w:pPr>
        <w:spacing w:line="600" w:lineRule="exact"/>
        <w:rPr>
          <w:rFonts w:ascii="黑体" w:eastAsia="黑体" w:hAnsi="黑体" w:cs="Times New Roman"/>
          <w:sz w:val="32"/>
          <w:szCs w:val="32"/>
        </w:rPr>
      </w:pPr>
      <w:r>
        <w:rPr>
          <w:rFonts w:ascii="黑体" w:eastAsia="黑体" w:hAnsi="黑体" w:cs="Times New Roman" w:hint="eastAsia"/>
          <w:sz w:val="32"/>
          <w:szCs w:val="32"/>
        </w:rPr>
        <w:lastRenderedPageBreak/>
        <w:t>附2</w:t>
      </w:r>
    </w:p>
    <w:p w:rsidR="00EC353A" w:rsidRDefault="00EC353A" w:rsidP="00C67CF5">
      <w:pPr>
        <w:spacing w:line="600" w:lineRule="exact"/>
        <w:rPr>
          <w:rFonts w:ascii="黑体" w:eastAsia="黑体" w:hAnsi="黑体" w:cs="Times New Roman"/>
          <w:sz w:val="32"/>
          <w:szCs w:val="32"/>
        </w:rPr>
      </w:pPr>
    </w:p>
    <w:p w:rsidR="00EC353A" w:rsidRDefault="00A21842" w:rsidP="00C67CF5">
      <w:pPr>
        <w:spacing w:line="600" w:lineRule="exact"/>
        <w:jc w:val="center"/>
        <w:rPr>
          <w:rFonts w:ascii="方正小标宋简体" w:eastAsia="方正小标宋简体" w:hAnsi="黑体"/>
          <w:sz w:val="36"/>
          <w:szCs w:val="36"/>
        </w:rPr>
      </w:pPr>
      <w:r>
        <w:rPr>
          <w:rFonts w:ascii="方正小标宋简体" w:eastAsia="方正小标宋简体" w:hAnsi="黑体" w:hint="eastAsia"/>
          <w:color w:val="333333"/>
          <w:sz w:val="36"/>
          <w:szCs w:val="36"/>
          <w:u w:val="single"/>
        </w:rPr>
        <w:t xml:space="preserve">      </w:t>
      </w:r>
      <w:r>
        <w:rPr>
          <w:rFonts w:ascii="方正小标宋简体" w:eastAsia="方正小标宋简体" w:hAnsi="黑体" w:hint="eastAsia"/>
          <w:color w:val="333333"/>
          <w:sz w:val="36"/>
          <w:szCs w:val="36"/>
        </w:rPr>
        <w:t>旗县（区）2021年</w:t>
      </w:r>
      <w:r>
        <w:rPr>
          <w:rFonts w:ascii="方正小标宋简体" w:eastAsia="方正小标宋简体" w:hAnsi="黑体" w:hint="eastAsia"/>
          <w:sz w:val="36"/>
          <w:szCs w:val="36"/>
        </w:rPr>
        <w:t>废旧地膜回收利用示范县</w:t>
      </w:r>
    </w:p>
    <w:p w:rsidR="00EC353A" w:rsidRDefault="00A21842" w:rsidP="00C67CF5">
      <w:pPr>
        <w:spacing w:line="600" w:lineRule="exact"/>
        <w:jc w:val="center"/>
        <w:rPr>
          <w:rFonts w:ascii="方正小标宋简体" w:eastAsia="方正小标宋简体" w:hAnsi="黑体"/>
          <w:color w:val="333333"/>
          <w:sz w:val="36"/>
          <w:szCs w:val="36"/>
        </w:rPr>
      </w:pPr>
      <w:r>
        <w:rPr>
          <w:rFonts w:ascii="方正小标宋简体" w:eastAsia="方正小标宋简体" w:hAnsi="黑体" w:hint="eastAsia"/>
          <w:color w:val="333333"/>
          <w:sz w:val="36"/>
          <w:szCs w:val="36"/>
        </w:rPr>
        <w:t>项目实施方案（编写提纲）</w:t>
      </w:r>
    </w:p>
    <w:p w:rsidR="00EC353A" w:rsidRDefault="00EC353A" w:rsidP="00C67CF5">
      <w:pPr>
        <w:spacing w:line="600" w:lineRule="exact"/>
        <w:jc w:val="center"/>
        <w:rPr>
          <w:rFonts w:ascii="方正小标宋简体" w:eastAsia="方正小标宋简体" w:hAnsi="黑体"/>
          <w:color w:val="333333"/>
          <w:sz w:val="36"/>
          <w:szCs w:val="36"/>
        </w:rPr>
      </w:pPr>
    </w:p>
    <w:p w:rsidR="00EC353A" w:rsidRDefault="00A21842" w:rsidP="00C67CF5">
      <w:pPr>
        <w:spacing w:line="62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一、项目概况</w:t>
      </w:r>
    </w:p>
    <w:p w:rsidR="00C67CF5" w:rsidRDefault="00A21842" w:rsidP="00C67CF5">
      <w:pPr>
        <w:spacing w:line="620" w:lineRule="exact"/>
        <w:ind w:firstLineChars="200" w:firstLine="640"/>
        <w:rPr>
          <w:rFonts w:ascii="仿宋_GB2312" w:eastAsia="仿宋_GB2312" w:hAnsi="Helvetica"/>
          <w:color w:val="333333"/>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项目名称；2</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项目建设的必要性；3</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项目建设内容；</w:t>
      </w:r>
    </w:p>
    <w:p w:rsidR="00EC353A" w:rsidRDefault="00A21842" w:rsidP="00C67CF5">
      <w:pPr>
        <w:spacing w:line="620" w:lineRule="exact"/>
        <w:rPr>
          <w:rFonts w:ascii="仿宋_GB2312" w:eastAsia="仿宋_GB2312" w:hAnsi="Helvetica"/>
          <w:color w:val="333333"/>
          <w:sz w:val="32"/>
          <w:szCs w:val="32"/>
        </w:rPr>
      </w:pPr>
      <w:r>
        <w:rPr>
          <w:rFonts w:ascii="仿宋_GB2312" w:eastAsia="仿宋_GB2312" w:hAnsi="Helvetica" w:hint="eastAsia"/>
          <w:color w:val="333333"/>
          <w:sz w:val="32"/>
          <w:szCs w:val="32"/>
        </w:rPr>
        <w:t>4</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项目实施地点；5</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项目目标；6</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前期工作基础；7</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组织方式；8</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项目总投资及资金来源；9</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实施计划；10</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效益分析</w:t>
      </w:r>
    </w:p>
    <w:p w:rsidR="00EC353A" w:rsidRDefault="00A21842" w:rsidP="00C67CF5">
      <w:pPr>
        <w:spacing w:line="62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二、项目区域地膜使用、回收利用状况及发展趋势</w:t>
      </w:r>
    </w:p>
    <w:p w:rsidR="00EC353A" w:rsidRDefault="00A21842" w:rsidP="00C67CF5">
      <w:pPr>
        <w:spacing w:line="620" w:lineRule="exact"/>
        <w:ind w:firstLineChars="200" w:firstLine="640"/>
        <w:rPr>
          <w:rFonts w:ascii="仿宋_GB2312" w:eastAsia="仿宋_GB2312" w:hAnsi="Helvetica"/>
          <w:color w:val="333333"/>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地膜使用情况；</w:t>
      </w:r>
      <w:r w:rsidR="00C67CF5">
        <w:rPr>
          <w:rFonts w:ascii="仿宋_GB2312" w:eastAsia="仿宋_GB2312" w:hAnsi="Helvetica" w:hint="eastAsia"/>
          <w:color w:val="333333"/>
          <w:sz w:val="32"/>
          <w:szCs w:val="32"/>
        </w:rPr>
        <w:t>2.</w:t>
      </w:r>
      <w:r>
        <w:rPr>
          <w:rFonts w:ascii="仿宋_GB2312" w:eastAsia="仿宋_GB2312" w:hAnsi="Helvetica" w:hint="eastAsia"/>
          <w:color w:val="333333"/>
          <w:sz w:val="32"/>
          <w:szCs w:val="32"/>
        </w:rPr>
        <w:t>地膜残留状况及其对环境影响；3</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地膜回收利用情况；4</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项目实施的意义</w:t>
      </w:r>
    </w:p>
    <w:p w:rsidR="00EC353A" w:rsidRDefault="00A21842" w:rsidP="00C67CF5">
      <w:pPr>
        <w:spacing w:line="62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三、项目实施单位及工作基础条件</w:t>
      </w:r>
    </w:p>
    <w:p w:rsidR="00EC353A" w:rsidRDefault="00A21842" w:rsidP="00C67CF5">
      <w:pPr>
        <w:spacing w:line="620" w:lineRule="exact"/>
        <w:ind w:firstLineChars="200" w:firstLine="640"/>
        <w:rPr>
          <w:rFonts w:ascii="仿宋_GB2312" w:eastAsia="仿宋_GB2312" w:hAnsi="Helvetica"/>
          <w:color w:val="333333"/>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项目实施单位基本情况；2</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项目实施单位工作基础条件</w:t>
      </w:r>
    </w:p>
    <w:p w:rsidR="00EC353A" w:rsidRDefault="00A21842" w:rsidP="00C67CF5">
      <w:pPr>
        <w:spacing w:line="62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四、项目目标</w:t>
      </w:r>
    </w:p>
    <w:p w:rsidR="00EC353A" w:rsidRDefault="00A21842" w:rsidP="00C67CF5">
      <w:pPr>
        <w:spacing w:line="620" w:lineRule="exact"/>
        <w:ind w:firstLineChars="200" w:firstLine="640"/>
        <w:rPr>
          <w:rFonts w:ascii="仿宋_GB2312" w:eastAsia="仿宋_GB2312" w:hAnsi="Helvetica"/>
          <w:color w:val="333333"/>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短期目标；2</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中长期目标</w:t>
      </w:r>
    </w:p>
    <w:p w:rsidR="00EC353A" w:rsidRDefault="00A21842" w:rsidP="00C67CF5">
      <w:pPr>
        <w:spacing w:line="62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五、项目选址</w:t>
      </w:r>
    </w:p>
    <w:p w:rsidR="00EC353A" w:rsidRDefault="00A21842" w:rsidP="00C67CF5">
      <w:pPr>
        <w:spacing w:line="620" w:lineRule="exact"/>
        <w:ind w:firstLineChars="200" w:firstLine="640"/>
        <w:rPr>
          <w:rFonts w:ascii="仿宋_GB2312" w:eastAsia="仿宋_GB2312" w:hAnsi="Helvetica"/>
          <w:color w:val="333333"/>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项目选址原则；2</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项目选址</w:t>
      </w:r>
    </w:p>
    <w:p w:rsidR="00EC353A" w:rsidRDefault="00A21842" w:rsidP="00C67CF5">
      <w:pPr>
        <w:spacing w:line="62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六、项目实施步骤</w:t>
      </w:r>
    </w:p>
    <w:p w:rsidR="00EC353A" w:rsidRDefault="00A21842" w:rsidP="00C67CF5">
      <w:pPr>
        <w:spacing w:line="620" w:lineRule="exact"/>
        <w:ind w:firstLineChars="200" w:firstLine="640"/>
        <w:rPr>
          <w:rFonts w:ascii="仿宋_GB2312" w:eastAsia="仿宋_GB2312" w:hAnsi="Helvetica"/>
          <w:color w:val="333333"/>
          <w:spacing w:val="-6"/>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pacing w:val="-6"/>
          <w:sz w:val="32"/>
          <w:szCs w:val="32"/>
        </w:rPr>
        <w:t>准备阶段；2</w:t>
      </w:r>
      <w:r w:rsidR="00C67CF5">
        <w:rPr>
          <w:rFonts w:ascii="仿宋_GB2312" w:eastAsia="仿宋_GB2312" w:hAnsi="Helvetica" w:hint="eastAsia"/>
          <w:color w:val="333333"/>
          <w:spacing w:val="-6"/>
          <w:sz w:val="32"/>
          <w:szCs w:val="32"/>
        </w:rPr>
        <w:t>.</w:t>
      </w:r>
      <w:r>
        <w:rPr>
          <w:rFonts w:ascii="仿宋_GB2312" w:eastAsia="仿宋_GB2312" w:hAnsi="Helvetica" w:hint="eastAsia"/>
          <w:color w:val="333333"/>
          <w:spacing w:val="-6"/>
          <w:sz w:val="32"/>
          <w:szCs w:val="32"/>
        </w:rPr>
        <w:t>实施阶段；3</w:t>
      </w:r>
      <w:r w:rsidR="00C67CF5">
        <w:rPr>
          <w:rFonts w:ascii="仿宋_GB2312" w:eastAsia="仿宋_GB2312" w:hAnsi="Helvetica" w:hint="eastAsia"/>
          <w:color w:val="333333"/>
          <w:spacing w:val="-6"/>
          <w:sz w:val="32"/>
          <w:szCs w:val="32"/>
        </w:rPr>
        <w:t>.</w:t>
      </w:r>
      <w:r>
        <w:rPr>
          <w:rFonts w:ascii="仿宋_GB2312" w:eastAsia="仿宋_GB2312" w:hAnsi="Helvetica" w:hint="eastAsia"/>
          <w:color w:val="333333"/>
          <w:spacing w:val="-6"/>
          <w:sz w:val="32"/>
          <w:szCs w:val="32"/>
        </w:rPr>
        <w:t>考核验收阶段；4</w:t>
      </w:r>
      <w:r w:rsidR="00C67CF5">
        <w:rPr>
          <w:rFonts w:ascii="仿宋_GB2312" w:eastAsia="仿宋_GB2312" w:hAnsi="Helvetica" w:hint="eastAsia"/>
          <w:color w:val="333333"/>
          <w:spacing w:val="-6"/>
          <w:sz w:val="32"/>
          <w:szCs w:val="32"/>
        </w:rPr>
        <w:t>.</w:t>
      </w:r>
      <w:r>
        <w:rPr>
          <w:rFonts w:ascii="仿宋_GB2312" w:eastAsia="仿宋_GB2312" w:hAnsi="Helvetica" w:hint="eastAsia"/>
          <w:color w:val="333333"/>
          <w:spacing w:val="-6"/>
          <w:sz w:val="32"/>
          <w:szCs w:val="32"/>
        </w:rPr>
        <w:t>总结阶段</w:t>
      </w:r>
    </w:p>
    <w:p w:rsidR="00EC353A" w:rsidRDefault="00A21842" w:rsidP="00C67CF5">
      <w:pPr>
        <w:spacing w:line="62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lastRenderedPageBreak/>
        <w:t>七、总体思路及技术路线</w:t>
      </w:r>
    </w:p>
    <w:p w:rsidR="00EC353A" w:rsidRDefault="00A21842" w:rsidP="00C67CF5">
      <w:pPr>
        <w:spacing w:line="600" w:lineRule="exact"/>
        <w:ind w:firstLineChars="200" w:firstLine="640"/>
        <w:rPr>
          <w:rFonts w:ascii="仿宋_GB2312" w:eastAsia="仿宋_GB2312" w:hAnsi="Helvetica"/>
          <w:color w:val="333333"/>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总体思路；2</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项目实施原则；3</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技术路线</w:t>
      </w:r>
    </w:p>
    <w:p w:rsidR="00EC353A" w:rsidRDefault="00A21842" w:rsidP="00C67CF5">
      <w:pPr>
        <w:spacing w:line="60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八、实施内容</w:t>
      </w:r>
    </w:p>
    <w:p w:rsidR="00C67CF5" w:rsidRDefault="00A21842" w:rsidP="00C67CF5">
      <w:pPr>
        <w:spacing w:line="600" w:lineRule="exact"/>
        <w:ind w:firstLineChars="200" w:firstLine="640"/>
        <w:rPr>
          <w:rFonts w:ascii="仿宋_GB2312" w:eastAsia="仿宋_GB2312" w:hAnsi="Helvetica"/>
          <w:color w:val="333333"/>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地膜减量替代技术及源头管控；2</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政策创设及宣传培训；3</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国标地膜应用及推广情况；4</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废旧地膜收储运建设情况；</w:t>
      </w:r>
    </w:p>
    <w:p w:rsidR="00C67CF5" w:rsidRDefault="00A21842" w:rsidP="00C67CF5">
      <w:pPr>
        <w:spacing w:line="600" w:lineRule="exact"/>
        <w:rPr>
          <w:rFonts w:ascii="仿宋_GB2312" w:eastAsia="仿宋_GB2312" w:hAnsi="Helvetica"/>
          <w:color w:val="333333"/>
          <w:sz w:val="32"/>
          <w:szCs w:val="32"/>
        </w:rPr>
      </w:pPr>
      <w:r>
        <w:rPr>
          <w:rFonts w:ascii="仿宋_GB2312" w:eastAsia="仿宋_GB2312" w:hAnsi="Helvetica" w:hint="eastAsia"/>
          <w:color w:val="333333"/>
          <w:sz w:val="32"/>
          <w:szCs w:val="32"/>
        </w:rPr>
        <w:t>5</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废旧地膜回收加工处理情况；6</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农田地膜残留监测情况；</w:t>
      </w:r>
    </w:p>
    <w:p w:rsidR="00EC353A" w:rsidRDefault="00A21842" w:rsidP="00C67CF5">
      <w:pPr>
        <w:spacing w:line="600" w:lineRule="exact"/>
        <w:rPr>
          <w:rFonts w:ascii="仿宋_GB2312" w:eastAsia="仿宋_GB2312" w:hAnsi="Helvetica"/>
          <w:color w:val="333333"/>
          <w:sz w:val="32"/>
          <w:szCs w:val="32"/>
        </w:rPr>
      </w:pPr>
      <w:r>
        <w:rPr>
          <w:rFonts w:ascii="仿宋_GB2312" w:eastAsia="仿宋_GB2312" w:hAnsi="Helvetica" w:hint="eastAsia"/>
          <w:color w:val="333333"/>
          <w:sz w:val="32"/>
          <w:szCs w:val="32"/>
        </w:rPr>
        <w:t>7</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回收机具研发情况；8</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科技支撑体系建设情况；9</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招投标情况；10</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档案台账建设情况</w:t>
      </w:r>
    </w:p>
    <w:p w:rsidR="00EC353A" w:rsidRDefault="00A21842" w:rsidP="00C67CF5">
      <w:pPr>
        <w:spacing w:line="60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九、投资测算及资金筹措</w:t>
      </w:r>
    </w:p>
    <w:p w:rsidR="00EC353A" w:rsidRDefault="00A21842" w:rsidP="00C67CF5">
      <w:pPr>
        <w:spacing w:line="600" w:lineRule="exact"/>
        <w:ind w:firstLineChars="200" w:firstLine="640"/>
        <w:rPr>
          <w:rFonts w:ascii="仿宋_GB2312" w:eastAsia="仿宋_GB2312" w:hAnsi="Helvetica"/>
          <w:color w:val="333333"/>
          <w:spacing w:val="-6"/>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pacing w:val="-6"/>
          <w:sz w:val="32"/>
          <w:szCs w:val="32"/>
        </w:rPr>
        <w:t>测算依据；2</w:t>
      </w:r>
      <w:r w:rsidR="00C67CF5">
        <w:rPr>
          <w:rFonts w:ascii="仿宋_GB2312" w:eastAsia="仿宋_GB2312" w:hAnsi="Helvetica" w:hint="eastAsia"/>
          <w:color w:val="333333"/>
          <w:spacing w:val="-6"/>
          <w:sz w:val="32"/>
          <w:szCs w:val="32"/>
        </w:rPr>
        <w:t>.</w:t>
      </w:r>
      <w:r>
        <w:rPr>
          <w:rFonts w:ascii="仿宋_GB2312" w:eastAsia="仿宋_GB2312" w:hAnsi="Helvetica" w:hint="eastAsia"/>
          <w:color w:val="333333"/>
          <w:spacing w:val="-6"/>
          <w:sz w:val="32"/>
          <w:szCs w:val="32"/>
        </w:rPr>
        <w:t>投资投入情况；3</w:t>
      </w:r>
      <w:r w:rsidR="00C67CF5">
        <w:rPr>
          <w:rFonts w:ascii="仿宋_GB2312" w:eastAsia="仿宋_GB2312" w:hAnsi="Helvetica" w:hint="eastAsia"/>
          <w:color w:val="333333"/>
          <w:spacing w:val="-6"/>
          <w:sz w:val="32"/>
          <w:szCs w:val="32"/>
        </w:rPr>
        <w:t>.</w:t>
      </w:r>
      <w:r>
        <w:rPr>
          <w:rFonts w:ascii="仿宋_GB2312" w:eastAsia="仿宋_GB2312" w:hAnsi="Helvetica" w:hint="eastAsia"/>
          <w:color w:val="333333"/>
          <w:spacing w:val="-6"/>
          <w:sz w:val="32"/>
          <w:szCs w:val="32"/>
        </w:rPr>
        <w:t>投资测算；4</w:t>
      </w:r>
      <w:r w:rsidR="00C67CF5">
        <w:rPr>
          <w:rFonts w:ascii="仿宋_GB2312" w:eastAsia="仿宋_GB2312" w:hAnsi="Helvetica" w:hint="eastAsia"/>
          <w:color w:val="333333"/>
          <w:spacing w:val="-6"/>
          <w:sz w:val="32"/>
          <w:szCs w:val="32"/>
        </w:rPr>
        <w:t>.</w:t>
      </w:r>
      <w:r>
        <w:rPr>
          <w:rFonts w:ascii="仿宋_GB2312" w:eastAsia="仿宋_GB2312" w:hAnsi="Helvetica" w:hint="eastAsia"/>
          <w:color w:val="333333"/>
          <w:spacing w:val="-6"/>
          <w:sz w:val="32"/>
          <w:szCs w:val="32"/>
        </w:rPr>
        <w:t>资金筹措</w:t>
      </w:r>
    </w:p>
    <w:p w:rsidR="00EC353A" w:rsidRDefault="00A21842" w:rsidP="00C67CF5">
      <w:pPr>
        <w:spacing w:line="60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十、效益分析</w:t>
      </w:r>
    </w:p>
    <w:p w:rsidR="00EC353A" w:rsidRDefault="00A21842" w:rsidP="00C67CF5">
      <w:pPr>
        <w:spacing w:line="600" w:lineRule="exact"/>
        <w:ind w:firstLineChars="200" w:firstLine="640"/>
        <w:rPr>
          <w:rFonts w:ascii="仿宋_GB2312" w:eastAsia="仿宋_GB2312" w:hAnsi="Helvetica"/>
          <w:color w:val="333333"/>
          <w:sz w:val="32"/>
          <w:szCs w:val="32"/>
        </w:rPr>
      </w:pPr>
      <w:r>
        <w:rPr>
          <w:rFonts w:ascii="仿宋_GB2312" w:eastAsia="仿宋_GB2312" w:hAnsi="Helvetica" w:hint="eastAsia"/>
          <w:color w:val="333333"/>
          <w:sz w:val="32"/>
          <w:szCs w:val="32"/>
        </w:rPr>
        <w:t>1</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环境效益；2</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社会效益；3</w:t>
      </w:r>
      <w:r w:rsidR="00C67CF5">
        <w:rPr>
          <w:rFonts w:ascii="仿宋_GB2312" w:eastAsia="仿宋_GB2312" w:hAnsi="Helvetica" w:hint="eastAsia"/>
          <w:color w:val="333333"/>
          <w:sz w:val="32"/>
          <w:szCs w:val="32"/>
        </w:rPr>
        <w:t>.</w:t>
      </w:r>
      <w:r>
        <w:rPr>
          <w:rFonts w:ascii="仿宋_GB2312" w:eastAsia="仿宋_GB2312" w:hAnsi="Helvetica" w:hint="eastAsia"/>
          <w:color w:val="333333"/>
          <w:sz w:val="32"/>
          <w:szCs w:val="32"/>
        </w:rPr>
        <w:t>经济效益</w:t>
      </w:r>
    </w:p>
    <w:p w:rsidR="00EC353A" w:rsidRDefault="00A21842" w:rsidP="00C67CF5">
      <w:pPr>
        <w:spacing w:line="60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十一、项目组织方式</w:t>
      </w:r>
    </w:p>
    <w:p w:rsidR="00EC353A" w:rsidRPr="00366D52" w:rsidRDefault="00A21842" w:rsidP="00366D52">
      <w:pPr>
        <w:pStyle w:val="a8"/>
        <w:numPr>
          <w:ilvl w:val="0"/>
          <w:numId w:val="1"/>
        </w:numPr>
        <w:spacing w:line="600" w:lineRule="exact"/>
        <w:ind w:firstLineChars="0"/>
        <w:rPr>
          <w:rFonts w:ascii="仿宋_GB2312" w:eastAsia="仿宋_GB2312" w:hAnsi="Helvetica"/>
          <w:color w:val="333333"/>
          <w:sz w:val="32"/>
          <w:szCs w:val="32"/>
        </w:rPr>
      </w:pPr>
      <w:r w:rsidRPr="00366D52">
        <w:rPr>
          <w:rFonts w:ascii="仿宋_GB2312" w:eastAsia="仿宋_GB2312" w:hAnsi="Helvetica" w:hint="eastAsia"/>
          <w:color w:val="333333"/>
          <w:sz w:val="32"/>
          <w:szCs w:val="32"/>
        </w:rPr>
        <w:t>管理制度；2</w:t>
      </w:r>
      <w:r w:rsidR="00C67CF5" w:rsidRPr="00366D52">
        <w:rPr>
          <w:rFonts w:ascii="仿宋_GB2312" w:eastAsia="仿宋_GB2312" w:hAnsi="Helvetica" w:hint="eastAsia"/>
          <w:color w:val="333333"/>
          <w:sz w:val="32"/>
          <w:szCs w:val="32"/>
        </w:rPr>
        <w:t>.</w:t>
      </w:r>
      <w:r w:rsidRPr="00366D52">
        <w:rPr>
          <w:rFonts w:ascii="仿宋_GB2312" w:eastAsia="仿宋_GB2312" w:hAnsi="Helvetica" w:hint="eastAsia"/>
          <w:color w:val="333333"/>
          <w:sz w:val="32"/>
          <w:szCs w:val="32"/>
        </w:rPr>
        <w:t>组织方式；3</w:t>
      </w:r>
      <w:r w:rsidR="00C67CF5" w:rsidRPr="00366D52">
        <w:rPr>
          <w:rFonts w:ascii="仿宋_GB2312" w:eastAsia="仿宋_GB2312" w:hAnsi="Helvetica" w:hint="eastAsia"/>
          <w:color w:val="333333"/>
          <w:sz w:val="32"/>
          <w:szCs w:val="32"/>
        </w:rPr>
        <w:t>.</w:t>
      </w:r>
      <w:r w:rsidRPr="00366D52">
        <w:rPr>
          <w:rFonts w:ascii="仿宋_GB2312" w:eastAsia="仿宋_GB2312" w:hAnsi="Helvetica" w:hint="eastAsia"/>
          <w:color w:val="333333"/>
          <w:sz w:val="32"/>
          <w:szCs w:val="32"/>
        </w:rPr>
        <w:t>考核办法；4</w:t>
      </w:r>
      <w:r w:rsidR="00C67CF5" w:rsidRPr="00366D52">
        <w:rPr>
          <w:rFonts w:ascii="仿宋_GB2312" w:eastAsia="仿宋_GB2312" w:hAnsi="Helvetica" w:hint="eastAsia"/>
          <w:color w:val="333333"/>
          <w:sz w:val="32"/>
          <w:szCs w:val="32"/>
        </w:rPr>
        <w:t>.</w:t>
      </w:r>
      <w:r w:rsidRPr="00366D52">
        <w:rPr>
          <w:rFonts w:ascii="仿宋_GB2312" w:eastAsia="仿宋_GB2312" w:hAnsi="Helvetica" w:hint="eastAsia"/>
          <w:color w:val="333333"/>
          <w:sz w:val="32"/>
          <w:szCs w:val="32"/>
        </w:rPr>
        <w:t>保障措施</w:t>
      </w:r>
    </w:p>
    <w:p w:rsidR="00366D52" w:rsidRDefault="00366D52" w:rsidP="00366D52">
      <w:pPr>
        <w:spacing w:line="600" w:lineRule="exact"/>
        <w:rPr>
          <w:rFonts w:ascii="仿宋_GB2312" w:eastAsia="仿宋_GB2312" w:hAnsi="Helvetica"/>
          <w:color w:val="333333"/>
          <w:sz w:val="32"/>
          <w:szCs w:val="32"/>
        </w:rPr>
      </w:pPr>
    </w:p>
    <w:p w:rsidR="00366D52" w:rsidRDefault="00366D52" w:rsidP="00366D52">
      <w:pPr>
        <w:spacing w:line="600" w:lineRule="exact"/>
        <w:rPr>
          <w:rFonts w:ascii="仿宋_GB2312" w:eastAsia="仿宋_GB2312" w:hAnsi="Helvetica"/>
          <w:color w:val="333333"/>
          <w:sz w:val="32"/>
          <w:szCs w:val="32"/>
        </w:rPr>
      </w:pPr>
    </w:p>
    <w:p w:rsidR="00366D52" w:rsidRDefault="00366D52" w:rsidP="00366D52">
      <w:pPr>
        <w:spacing w:line="600" w:lineRule="exact"/>
        <w:rPr>
          <w:rFonts w:ascii="仿宋_GB2312" w:eastAsia="仿宋_GB2312" w:hAnsi="Helvetica"/>
          <w:color w:val="333333"/>
          <w:sz w:val="32"/>
          <w:szCs w:val="32"/>
        </w:rPr>
      </w:pPr>
    </w:p>
    <w:p w:rsidR="00366D52" w:rsidRDefault="00366D52" w:rsidP="00366D52">
      <w:pPr>
        <w:spacing w:line="600" w:lineRule="exact"/>
        <w:rPr>
          <w:rFonts w:ascii="仿宋_GB2312" w:eastAsia="仿宋_GB2312" w:hAnsi="Helvetica"/>
          <w:color w:val="333333"/>
          <w:sz w:val="32"/>
          <w:szCs w:val="32"/>
        </w:rPr>
      </w:pPr>
    </w:p>
    <w:p w:rsidR="00366D52" w:rsidRDefault="00366D52" w:rsidP="00366D52">
      <w:pPr>
        <w:spacing w:line="600" w:lineRule="exact"/>
        <w:rPr>
          <w:rFonts w:ascii="仿宋_GB2312" w:eastAsia="仿宋_GB2312" w:hAnsi="Helvetica"/>
          <w:color w:val="333333"/>
          <w:sz w:val="32"/>
          <w:szCs w:val="32"/>
        </w:rPr>
      </w:pPr>
    </w:p>
    <w:p w:rsidR="00366D52" w:rsidRDefault="00366D52" w:rsidP="00366D52">
      <w:pPr>
        <w:spacing w:line="600" w:lineRule="exact"/>
        <w:rPr>
          <w:rFonts w:ascii="仿宋_GB2312" w:eastAsia="仿宋_GB2312" w:hAnsi="Helvetica"/>
          <w:color w:val="333333"/>
          <w:sz w:val="32"/>
          <w:szCs w:val="32"/>
        </w:rPr>
      </w:pPr>
    </w:p>
    <w:p w:rsidR="00366D52" w:rsidRPr="00366D52" w:rsidRDefault="00366D52" w:rsidP="00366D52">
      <w:pPr>
        <w:spacing w:line="600" w:lineRule="exact"/>
        <w:rPr>
          <w:rFonts w:ascii="仿宋_GB2312" w:eastAsia="仿宋_GB2312" w:hAnsi="Helvetica"/>
          <w:color w:val="333333"/>
          <w:sz w:val="32"/>
          <w:szCs w:val="32"/>
        </w:rPr>
      </w:pPr>
    </w:p>
    <w:sectPr w:rsidR="00366D52" w:rsidRPr="00366D52" w:rsidSect="00C07773">
      <w:headerReference w:type="even" r:id="rId11"/>
      <w:footerReference w:type="even" r:id="rId12"/>
      <w:footerReference w:type="default" r:id="rId13"/>
      <w:pgSz w:w="11906" w:h="16838" w:code="9"/>
      <w:pgMar w:top="2098" w:right="1531" w:bottom="1871" w:left="1531" w:header="851" w:footer="1644" w:gutter="0"/>
      <w:pgNumType w:fmt="numberInDash" w:start="10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5B6" w:rsidRDefault="001D45B6" w:rsidP="00EC353A">
      <w:r>
        <w:separator/>
      </w:r>
    </w:p>
  </w:endnote>
  <w:endnote w:type="continuationSeparator" w:id="0">
    <w:p w:rsidR="001D45B6" w:rsidRDefault="001D45B6" w:rsidP="00EC3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42B2EAB8-9941-4533-8002-0A009AD6620F}"/>
  </w:font>
  <w:font w:name="方正小标宋简体">
    <w:panose1 w:val="02010601030101010101"/>
    <w:charset w:val="86"/>
    <w:family w:val="auto"/>
    <w:pitch w:val="variable"/>
    <w:sig w:usb0="00000001" w:usb1="080E0000" w:usb2="00000010" w:usb3="00000000" w:csb0="00040000" w:csb1="00000000"/>
    <w:embedRegular r:id="rId2" w:subsetted="1" w:fontKey="{A3B41457-A5E1-4D6C-A04B-9C280071C96D}"/>
  </w:font>
  <w:font w:name="仿宋_GB2312">
    <w:panose1 w:val="02010609030101010101"/>
    <w:charset w:val="86"/>
    <w:family w:val="modern"/>
    <w:pitch w:val="fixed"/>
    <w:sig w:usb0="00000001" w:usb1="080E0000" w:usb2="00000010" w:usb3="00000000" w:csb0="00040000" w:csb1="00000000"/>
    <w:embedRegular r:id="rId3" w:subsetted="1" w:fontKey="{8B1FD649-44A5-401D-BFBC-7583F31EC79B}"/>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4" w:subsetted="1" w:fontKey="{9230E62E-FAF9-4267-97B6-A1C151EF75B8}"/>
  </w:font>
  <w:font w:name="方正楷体_GBK">
    <w:altName w:val="微软雅黑"/>
    <w:charset w:val="86"/>
    <w:family w:val="script"/>
    <w:pitch w:val="default"/>
    <w:sig w:usb0="00000000" w:usb1="00000000" w:usb2="00000010" w:usb3="00000000" w:csb0="00040000" w:csb1="00000000"/>
  </w:font>
  <w:font w:name="华文仿宋">
    <w:altName w:val="仿宋"/>
    <w:charset w:val="86"/>
    <w:family w:val="auto"/>
    <w:pitch w:val="default"/>
    <w:sig w:usb0="00000000" w:usb1="00000000" w:usb2="00000010" w:usb3="00000000" w:csb0="0004009F" w:csb1="00000000"/>
  </w:font>
  <w:font w:name="??_GB2312">
    <w:altName w:val="Times New Roman"/>
    <w:charset w:val="00"/>
    <w:family w:val="auto"/>
    <w:pitch w:val="default"/>
    <w:sig w:usb0="00000000" w:usb1="00000000" w:usb2="00000000" w:usb3="00000000" w:csb0="00000001" w:csb1="00000000"/>
  </w:font>
  <w:font w:name="方正仿宋_GBK">
    <w:altName w:val="微软雅黑"/>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505801"/>
    </w:sdtPr>
    <w:sdtContent>
      <w:p w:rsidR="00EC353A" w:rsidRDefault="006C6B2C">
        <w:pPr>
          <w:pStyle w:val="a3"/>
        </w:pPr>
        <w:r>
          <w:rPr>
            <w:rFonts w:ascii="宋体" w:eastAsia="宋体" w:hAnsi="宋体"/>
            <w:sz w:val="28"/>
            <w:szCs w:val="28"/>
          </w:rPr>
          <w:fldChar w:fldCharType="begin"/>
        </w:r>
        <w:r w:rsidR="00A21842">
          <w:rPr>
            <w:rFonts w:ascii="宋体" w:eastAsia="宋体" w:hAnsi="宋体"/>
            <w:sz w:val="28"/>
            <w:szCs w:val="28"/>
          </w:rPr>
          <w:instrText xml:space="preserve"> PAGE   \* MERGEFORMAT </w:instrText>
        </w:r>
        <w:r>
          <w:rPr>
            <w:rFonts w:ascii="宋体" w:eastAsia="宋体" w:hAnsi="宋体"/>
            <w:sz w:val="28"/>
            <w:szCs w:val="28"/>
          </w:rPr>
          <w:fldChar w:fldCharType="separate"/>
        </w:r>
        <w:r w:rsidR="00C07773" w:rsidRPr="00C07773">
          <w:rPr>
            <w:rFonts w:ascii="宋体" w:eastAsia="宋体" w:hAnsi="宋体"/>
            <w:noProof/>
            <w:sz w:val="28"/>
            <w:szCs w:val="28"/>
            <w:lang w:val="zh-CN"/>
          </w:rPr>
          <w:t>-</w:t>
        </w:r>
        <w:r w:rsidR="00C07773">
          <w:rPr>
            <w:rFonts w:ascii="宋体" w:eastAsia="宋体" w:hAnsi="宋体"/>
            <w:noProof/>
            <w:sz w:val="28"/>
            <w:szCs w:val="28"/>
          </w:rPr>
          <w:t xml:space="preserve"> 114 -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505795"/>
    </w:sdtPr>
    <w:sdtContent>
      <w:p w:rsidR="00EC353A" w:rsidRDefault="006C6B2C">
        <w:pPr>
          <w:pStyle w:val="a3"/>
          <w:jc w:val="right"/>
        </w:pPr>
        <w:r>
          <w:rPr>
            <w:rFonts w:ascii="宋体" w:eastAsia="宋体" w:hAnsi="宋体"/>
            <w:sz w:val="28"/>
            <w:szCs w:val="28"/>
          </w:rPr>
          <w:fldChar w:fldCharType="begin"/>
        </w:r>
        <w:r w:rsidR="00A21842">
          <w:rPr>
            <w:rFonts w:ascii="宋体" w:eastAsia="宋体" w:hAnsi="宋体"/>
            <w:sz w:val="28"/>
            <w:szCs w:val="28"/>
          </w:rPr>
          <w:instrText xml:space="preserve"> PAGE   \* MERGEFORMAT </w:instrText>
        </w:r>
        <w:r>
          <w:rPr>
            <w:rFonts w:ascii="宋体" w:eastAsia="宋体" w:hAnsi="宋体"/>
            <w:sz w:val="28"/>
            <w:szCs w:val="28"/>
          </w:rPr>
          <w:fldChar w:fldCharType="separate"/>
        </w:r>
        <w:r w:rsidR="00C07773" w:rsidRPr="00C07773">
          <w:rPr>
            <w:rFonts w:ascii="宋体" w:eastAsia="宋体" w:hAnsi="宋体"/>
            <w:noProof/>
            <w:sz w:val="28"/>
            <w:szCs w:val="28"/>
            <w:lang w:val="zh-CN"/>
          </w:rPr>
          <w:t>-</w:t>
        </w:r>
        <w:r w:rsidR="00C07773">
          <w:rPr>
            <w:rFonts w:ascii="宋体" w:eastAsia="宋体" w:hAnsi="宋体"/>
            <w:noProof/>
            <w:sz w:val="28"/>
            <w:szCs w:val="28"/>
          </w:rPr>
          <w:t xml:space="preserve"> 113 -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5B6" w:rsidRDefault="001D45B6" w:rsidP="00EC353A">
      <w:r>
        <w:separator/>
      </w:r>
    </w:p>
  </w:footnote>
  <w:footnote w:type="continuationSeparator" w:id="0">
    <w:p w:rsidR="001D45B6" w:rsidRDefault="001D45B6" w:rsidP="00EC3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61194"/>
    </w:sdtPr>
    <w:sdtContent>
      <w:p w:rsidR="00EC353A" w:rsidRDefault="006C6B2C">
        <w:pPr>
          <w:pStyle w:val="a4"/>
        </w:pPr>
      </w:p>
    </w:sdtContent>
  </w:sdt>
  <w:p w:rsidR="00EC353A" w:rsidRDefault="00EC353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0078"/>
    <w:multiLevelType w:val="hybridMultilevel"/>
    <w:tmpl w:val="E6AC0FC4"/>
    <w:lvl w:ilvl="0" w:tplc="491E7DC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4269"/>
    <w:rsid w:val="000303B0"/>
    <w:rsid w:val="000329D1"/>
    <w:rsid w:val="000430B7"/>
    <w:rsid w:val="00043538"/>
    <w:rsid w:val="0005041C"/>
    <w:rsid w:val="00050D4B"/>
    <w:rsid w:val="00064047"/>
    <w:rsid w:val="00065049"/>
    <w:rsid w:val="00070880"/>
    <w:rsid w:val="00083B70"/>
    <w:rsid w:val="000870BB"/>
    <w:rsid w:val="000A592B"/>
    <w:rsid w:val="000B0F77"/>
    <w:rsid w:val="000B274B"/>
    <w:rsid w:val="000C66AC"/>
    <w:rsid w:val="000C7600"/>
    <w:rsid w:val="000D4027"/>
    <w:rsid w:val="000E5496"/>
    <w:rsid w:val="000F6A9B"/>
    <w:rsid w:val="00104FEC"/>
    <w:rsid w:val="0011175F"/>
    <w:rsid w:val="00111A2E"/>
    <w:rsid w:val="00116CC0"/>
    <w:rsid w:val="00137B37"/>
    <w:rsid w:val="00145F80"/>
    <w:rsid w:val="00146AF2"/>
    <w:rsid w:val="00155792"/>
    <w:rsid w:val="001618F9"/>
    <w:rsid w:val="001654B1"/>
    <w:rsid w:val="00166FDD"/>
    <w:rsid w:val="00172A27"/>
    <w:rsid w:val="00172BA7"/>
    <w:rsid w:val="00192C32"/>
    <w:rsid w:val="001A52AC"/>
    <w:rsid w:val="001D45B6"/>
    <w:rsid w:val="001E749D"/>
    <w:rsid w:val="001F01CD"/>
    <w:rsid w:val="001F2885"/>
    <w:rsid w:val="002121D7"/>
    <w:rsid w:val="00230FFE"/>
    <w:rsid w:val="002441E7"/>
    <w:rsid w:val="002716C1"/>
    <w:rsid w:val="00286F69"/>
    <w:rsid w:val="00294428"/>
    <w:rsid w:val="002D2EA0"/>
    <w:rsid w:val="00314A16"/>
    <w:rsid w:val="00335135"/>
    <w:rsid w:val="00336C3C"/>
    <w:rsid w:val="003431C1"/>
    <w:rsid w:val="00366D52"/>
    <w:rsid w:val="00387D2A"/>
    <w:rsid w:val="00395511"/>
    <w:rsid w:val="003B423A"/>
    <w:rsid w:val="003C10E0"/>
    <w:rsid w:val="003D6C8E"/>
    <w:rsid w:val="003F4BF8"/>
    <w:rsid w:val="0041029D"/>
    <w:rsid w:val="004226C4"/>
    <w:rsid w:val="00422FD9"/>
    <w:rsid w:val="0042612D"/>
    <w:rsid w:val="00434F49"/>
    <w:rsid w:val="00445401"/>
    <w:rsid w:val="004454BA"/>
    <w:rsid w:val="00446C64"/>
    <w:rsid w:val="004478D8"/>
    <w:rsid w:val="00462A96"/>
    <w:rsid w:val="00493050"/>
    <w:rsid w:val="004A1037"/>
    <w:rsid w:val="004A64B3"/>
    <w:rsid w:val="004B2249"/>
    <w:rsid w:val="004C1E08"/>
    <w:rsid w:val="004D4C4E"/>
    <w:rsid w:val="004E4E48"/>
    <w:rsid w:val="0052646F"/>
    <w:rsid w:val="0053233E"/>
    <w:rsid w:val="0058313A"/>
    <w:rsid w:val="00596005"/>
    <w:rsid w:val="005A4A35"/>
    <w:rsid w:val="005A5F41"/>
    <w:rsid w:val="005C0AE4"/>
    <w:rsid w:val="005D0123"/>
    <w:rsid w:val="005D0E67"/>
    <w:rsid w:val="005D6C54"/>
    <w:rsid w:val="005F3BA8"/>
    <w:rsid w:val="00616F8A"/>
    <w:rsid w:val="00643518"/>
    <w:rsid w:val="00654A16"/>
    <w:rsid w:val="006976BE"/>
    <w:rsid w:val="006A7392"/>
    <w:rsid w:val="006C6B2C"/>
    <w:rsid w:val="006D57C3"/>
    <w:rsid w:val="006D68F7"/>
    <w:rsid w:val="006E3762"/>
    <w:rsid w:val="006E6ECF"/>
    <w:rsid w:val="007063FF"/>
    <w:rsid w:val="00707683"/>
    <w:rsid w:val="00707B89"/>
    <w:rsid w:val="007416EA"/>
    <w:rsid w:val="00745C96"/>
    <w:rsid w:val="00754EF3"/>
    <w:rsid w:val="00764104"/>
    <w:rsid w:val="00772D9F"/>
    <w:rsid w:val="00774B03"/>
    <w:rsid w:val="007810E6"/>
    <w:rsid w:val="00785CF2"/>
    <w:rsid w:val="00787BDA"/>
    <w:rsid w:val="007A10D4"/>
    <w:rsid w:val="007E7D9E"/>
    <w:rsid w:val="00800546"/>
    <w:rsid w:val="00824A31"/>
    <w:rsid w:val="00824D8D"/>
    <w:rsid w:val="00865DD3"/>
    <w:rsid w:val="00873D24"/>
    <w:rsid w:val="008868ED"/>
    <w:rsid w:val="0089001C"/>
    <w:rsid w:val="008E668D"/>
    <w:rsid w:val="008F166F"/>
    <w:rsid w:val="00901C83"/>
    <w:rsid w:val="00902B86"/>
    <w:rsid w:val="00904B28"/>
    <w:rsid w:val="00906307"/>
    <w:rsid w:val="009154C2"/>
    <w:rsid w:val="009237A0"/>
    <w:rsid w:val="00932D61"/>
    <w:rsid w:val="00944A9B"/>
    <w:rsid w:val="00950A0D"/>
    <w:rsid w:val="00953BFE"/>
    <w:rsid w:val="00955940"/>
    <w:rsid w:val="009567E1"/>
    <w:rsid w:val="009656B1"/>
    <w:rsid w:val="00972FF4"/>
    <w:rsid w:val="00974D3B"/>
    <w:rsid w:val="00980FB0"/>
    <w:rsid w:val="00983142"/>
    <w:rsid w:val="009A6167"/>
    <w:rsid w:val="009D65B8"/>
    <w:rsid w:val="009E139E"/>
    <w:rsid w:val="009E785F"/>
    <w:rsid w:val="00A21842"/>
    <w:rsid w:val="00A33B42"/>
    <w:rsid w:val="00A55F70"/>
    <w:rsid w:val="00A94E73"/>
    <w:rsid w:val="00AA2194"/>
    <w:rsid w:val="00AC1289"/>
    <w:rsid w:val="00AC7BA8"/>
    <w:rsid w:val="00AF19C4"/>
    <w:rsid w:val="00AF3C07"/>
    <w:rsid w:val="00B12D6E"/>
    <w:rsid w:val="00B22D6D"/>
    <w:rsid w:val="00B26513"/>
    <w:rsid w:val="00B26F6F"/>
    <w:rsid w:val="00B32A4E"/>
    <w:rsid w:val="00B47693"/>
    <w:rsid w:val="00B501F7"/>
    <w:rsid w:val="00B508E1"/>
    <w:rsid w:val="00B57DDF"/>
    <w:rsid w:val="00B614B0"/>
    <w:rsid w:val="00B618AF"/>
    <w:rsid w:val="00B7181D"/>
    <w:rsid w:val="00B73778"/>
    <w:rsid w:val="00B806C5"/>
    <w:rsid w:val="00B83F64"/>
    <w:rsid w:val="00B84D84"/>
    <w:rsid w:val="00BA016B"/>
    <w:rsid w:val="00BE0395"/>
    <w:rsid w:val="00BF4092"/>
    <w:rsid w:val="00BF6ED7"/>
    <w:rsid w:val="00C0159A"/>
    <w:rsid w:val="00C022C3"/>
    <w:rsid w:val="00C07773"/>
    <w:rsid w:val="00C07F4F"/>
    <w:rsid w:val="00C138F2"/>
    <w:rsid w:val="00C40438"/>
    <w:rsid w:val="00C47DBC"/>
    <w:rsid w:val="00C5244B"/>
    <w:rsid w:val="00C67CF5"/>
    <w:rsid w:val="00C74FCE"/>
    <w:rsid w:val="00C85D87"/>
    <w:rsid w:val="00C910D9"/>
    <w:rsid w:val="00CA7FA4"/>
    <w:rsid w:val="00CC75C3"/>
    <w:rsid w:val="00CD436E"/>
    <w:rsid w:val="00CE608D"/>
    <w:rsid w:val="00D032F2"/>
    <w:rsid w:val="00D06DF6"/>
    <w:rsid w:val="00D07A8E"/>
    <w:rsid w:val="00D43A70"/>
    <w:rsid w:val="00D47D97"/>
    <w:rsid w:val="00D50D9E"/>
    <w:rsid w:val="00D51ECB"/>
    <w:rsid w:val="00D54B3E"/>
    <w:rsid w:val="00D570CA"/>
    <w:rsid w:val="00DA7A1B"/>
    <w:rsid w:val="00DC489F"/>
    <w:rsid w:val="00DD780C"/>
    <w:rsid w:val="00DE76CD"/>
    <w:rsid w:val="00DF2033"/>
    <w:rsid w:val="00DF2AAA"/>
    <w:rsid w:val="00DF5F73"/>
    <w:rsid w:val="00E022B8"/>
    <w:rsid w:val="00E34310"/>
    <w:rsid w:val="00E55840"/>
    <w:rsid w:val="00E56CE9"/>
    <w:rsid w:val="00E652F5"/>
    <w:rsid w:val="00E67C35"/>
    <w:rsid w:val="00E71EA6"/>
    <w:rsid w:val="00E82A64"/>
    <w:rsid w:val="00E94954"/>
    <w:rsid w:val="00E956AD"/>
    <w:rsid w:val="00EA7C31"/>
    <w:rsid w:val="00EC097F"/>
    <w:rsid w:val="00EC353A"/>
    <w:rsid w:val="00EC44A8"/>
    <w:rsid w:val="00ED70A0"/>
    <w:rsid w:val="00EF4BBD"/>
    <w:rsid w:val="00F30057"/>
    <w:rsid w:val="00F640CC"/>
    <w:rsid w:val="00F93FC0"/>
    <w:rsid w:val="00FB0A77"/>
    <w:rsid w:val="00FB6040"/>
    <w:rsid w:val="00FC516D"/>
    <w:rsid w:val="00FE5CD3"/>
    <w:rsid w:val="00FF7067"/>
    <w:rsid w:val="03EB7A3E"/>
    <w:rsid w:val="041741A7"/>
    <w:rsid w:val="045E44A8"/>
    <w:rsid w:val="07A67067"/>
    <w:rsid w:val="08A315F9"/>
    <w:rsid w:val="08C94AB2"/>
    <w:rsid w:val="095F6864"/>
    <w:rsid w:val="0A5A6B25"/>
    <w:rsid w:val="0CF348F3"/>
    <w:rsid w:val="0E114481"/>
    <w:rsid w:val="0E2B7837"/>
    <w:rsid w:val="0E997C39"/>
    <w:rsid w:val="0ED57024"/>
    <w:rsid w:val="0F104E4C"/>
    <w:rsid w:val="0FF555E1"/>
    <w:rsid w:val="10487A17"/>
    <w:rsid w:val="11EB48D1"/>
    <w:rsid w:val="11FA6374"/>
    <w:rsid w:val="120244AC"/>
    <w:rsid w:val="128B07D2"/>
    <w:rsid w:val="13BE6FEA"/>
    <w:rsid w:val="140B32E5"/>
    <w:rsid w:val="142851EE"/>
    <w:rsid w:val="150C452B"/>
    <w:rsid w:val="15BA2C9F"/>
    <w:rsid w:val="15E24D08"/>
    <w:rsid w:val="16182D3A"/>
    <w:rsid w:val="16C34802"/>
    <w:rsid w:val="17265766"/>
    <w:rsid w:val="17892875"/>
    <w:rsid w:val="17914963"/>
    <w:rsid w:val="188A1E2A"/>
    <w:rsid w:val="19C227A3"/>
    <w:rsid w:val="1A7F7F75"/>
    <w:rsid w:val="1B777818"/>
    <w:rsid w:val="1B8C3157"/>
    <w:rsid w:val="1C77634A"/>
    <w:rsid w:val="1E0D615C"/>
    <w:rsid w:val="1EAA58CD"/>
    <w:rsid w:val="1EDF0E47"/>
    <w:rsid w:val="1F121796"/>
    <w:rsid w:val="1FC0753B"/>
    <w:rsid w:val="1FF93D24"/>
    <w:rsid w:val="22F01EDD"/>
    <w:rsid w:val="23484509"/>
    <w:rsid w:val="248D24AF"/>
    <w:rsid w:val="25440819"/>
    <w:rsid w:val="256218CD"/>
    <w:rsid w:val="25991BDD"/>
    <w:rsid w:val="25CB4128"/>
    <w:rsid w:val="26754EBA"/>
    <w:rsid w:val="272C6185"/>
    <w:rsid w:val="2807451C"/>
    <w:rsid w:val="29CF6112"/>
    <w:rsid w:val="2ABF3D77"/>
    <w:rsid w:val="2CC93F73"/>
    <w:rsid w:val="2D996799"/>
    <w:rsid w:val="2E246143"/>
    <w:rsid w:val="2E39773A"/>
    <w:rsid w:val="2EC03FB7"/>
    <w:rsid w:val="2FDB78F8"/>
    <w:rsid w:val="384628B0"/>
    <w:rsid w:val="39211ACC"/>
    <w:rsid w:val="39BF1734"/>
    <w:rsid w:val="3A160D7F"/>
    <w:rsid w:val="3AB87725"/>
    <w:rsid w:val="3DAC79D6"/>
    <w:rsid w:val="3F242D5B"/>
    <w:rsid w:val="409739C8"/>
    <w:rsid w:val="41244B7F"/>
    <w:rsid w:val="42BF73AE"/>
    <w:rsid w:val="43C83E5E"/>
    <w:rsid w:val="447E73E3"/>
    <w:rsid w:val="449F64C5"/>
    <w:rsid w:val="44EC7FB1"/>
    <w:rsid w:val="49903CBB"/>
    <w:rsid w:val="49FA1E16"/>
    <w:rsid w:val="4B4B1321"/>
    <w:rsid w:val="4D7F0CF2"/>
    <w:rsid w:val="4DA529A8"/>
    <w:rsid w:val="4DA74E01"/>
    <w:rsid w:val="4E0F6FE0"/>
    <w:rsid w:val="4ECE2A2E"/>
    <w:rsid w:val="4F775F82"/>
    <w:rsid w:val="52C24ED4"/>
    <w:rsid w:val="52F45CAA"/>
    <w:rsid w:val="53074AF3"/>
    <w:rsid w:val="53E6180C"/>
    <w:rsid w:val="54A96CCF"/>
    <w:rsid w:val="559708B9"/>
    <w:rsid w:val="563C1FBD"/>
    <w:rsid w:val="572F4B13"/>
    <w:rsid w:val="585930E0"/>
    <w:rsid w:val="594B1057"/>
    <w:rsid w:val="59FA6D11"/>
    <w:rsid w:val="5A8C5E0B"/>
    <w:rsid w:val="5AE66DC8"/>
    <w:rsid w:val="5B613B6E"/>
    <w:rsid w:val="605966E9"/>
    <w:rsid w:val="611936EB"/>
    <w:rsid w:val="612C03D8"/>
    <w:rsid w:val="614964D7"/>
    <w:rsid w:val="614C2433"/>
    <w:rsid w:val="61A21818"/>
    <w:rsid w:val="63641DFB"/>
    <w:rsid w:val="636B4565"/>
    <w:rsid w:val="64545EA3"/>
    <w:rsid w:val="65970793"/>
    <w:rsid w:val="66174B6A"/>
    <w:rsid w:val="66376D1D"/>
    <w:rsid w:val="66D618F4"/>
    <w:rsid w:val="670E53A3"/>
    <w:rsid w:val="694B5290"/>
    <w:rsid w:val="6D793817"/>
    <w:rsid w:val="6D7D0838"/>
    <w:rsid w:val="6DD1447B"/>
    <w:rsid w:val="6E8462B7"/>
    <w:rsid w:val="6F925BD7"/>
    <w:rsid w:val="70336ABB"/>
    <w:rsid w:val="705F4E08"/>
    <w:rsid w:val="70C745CD"/>
    <w:rsid w:val="7218455A"/>
    <w:rsid w:val="76604BA2"/>
    <w:rsid w:val="779C542F"/>
    <w:rsid w:val="77E6157A"/>
    <w:rsid w:val="7A0506A9"/>
    <w:rsid w:val="7A2B12B3"/>
    <w:rsid w:val="7BAD4489"/>
    <w:rsid w:val="7BB4195E"/>
    <w:rsid w:val="7CFF24B2"/>
    <w:rsid w:val="7EC17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53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C353A"/>
    <w:pPr>
      <w:tabs>
        <w:tab w:val="center" w:pos="4153"/>
        <w:tab w:val="right" w:pos="8306"/>
      </w:tabs>
      <w:snapToGrid w:val="0"/>
      <w:jc w:val="left"/>
    </w:pPr>
    <w:rPr>
      <w:sz w:val="18"/>
    </w:rPr>
  </w:style>
  <w:style w:type="paragraph" w:styleId="a4">
    <w:name w:val="header"/>
    <w:basedOn w:val="a"/>
    <w:link w:val="Char0"/>
    <w:uiPriority w:val="99"/>
    <w:qFormat/>
    <w:rsid w:val="00EC35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EC353A"/>
    <w:pPr>
      <w:widowControl/>
      <w:spacing w:before="100" w:beforeAutospacing="1" w:after="100" w:afterAutospacing="1"/>
      <w:jc w:val="left"/>
    </w:pPr>
    <w:rPr>
      <w:rFonts w:ascii="宋体" w:hAnsi="宋体" w:cs="宋体"/>
      <w:kern w:val="0"/>
      <w:sz w:val="24"/>
    </w:rPr>
  </w:style>
  <w:style w:type="table" w:styleId="a6">
    <w:name w:val="Table Grid"/>
    <w:basedOn w:val="a1"/>
    <w:qFormat/>
    <w:rsid w:val="00EC35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qFormat/>
    <w:rsid w:val="00EC353A"/>
    <w:rPr>
      <w:color w:val="0563C1" w:themeColor="hyperlink"/>
      <w:u w:val="single"/>
    </w:rPr>
  </w:style>
  <w:style w:type="table" w:customStyle="1" w:styleId="1">
    <w:name w:val="网格型1"/>
    <w:basedOn w:val="a1"/>
    <w:uiPriority w:val="59"/>
    <w:qFormat/>
    <w:rsid w:val="00EC353A"/>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unhideWhenUsed/>
    <w:qFormat/>
    <w:rsid w:val="00EC353A"/>
    <w:pPr>
      <w:ind w:firstLineChars="200" w:firstLine="420"/>
    </w:pPr>
  </w:style>
  <w:style w:type="character" w:customStyle="1" w:styleId="Char">
    <w:name w:val="页脚 Char"/>
    <w:basedOn w:val="a0"/>
    <w:link w:val="a3"/>
    <w:uiPriority w:val="99"/>
    <w:qFormat/>
    <w:rsid w:val="00EC353A"/>
    <w:rPr>
      <w:rFonts w:asciiTheme="minorHAnsi" w:eastAsiaTheme="minorEastAsia" w:hAnsiTheme="minorHAnsi" w:cstheme="minorBidi"/>
      <w:kern w:val="2"/>
      <w:sz w:val="18"/>
      <w:szCs w:val="22"/>
    </w:rPr>
  </w:style>
  <w:style w:type="character" w:customStyle="1" w:styleId="Char0">
    <w:name w:val="页眉 Char"/>
    <w:basedOn w:val="a0"/>
    <w:link w:val="a4"/>
    <w:uiPriority w:val="99"/>
    <w:qFormat/>
    <w:rsid w:val="00EC353A"/>
    <w:rPr>
      <w:rFonts w:asciiTheme="minorHAnsi" w:eastAsiaTheme="minorEastAsia" w:hAnsiTheme="minorHAnsi" w:cstheme="minorBidi"/>
      <w:kern w:val="2"/>
      <w:sz w:val="18"/>
      <w:szCs w:val="22"/>
    </w:rPr>
  </w:style>
  <w:style w:type="paragraph" w:styleId="a9">
    <w:name w:val="Balloon Text"/>
    <w:basedOn w:val="a"/>
    <w:link w:val="Char1"/>
    <w:rsid w:val="00C67CF5"/>
    <w:rPr>
      <w:sz w:val="18"/>
      <w:szCs w:val="18"/>
    </w:rPr>
  </w:style>
  <w:style w:type="character" w:customStyle="1" w:styleId="Char1">
    <w:name w:val="批注框文本 Char"/>
    <w:basedOn w:val="a0"/>
    <w:link w:val="a9"/>
    <w:rsid w:val="00C67C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896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0005;&#23376;&#29256;&#21457;&#36865;&#33267;nmnyhb@163.com" TargetMode="External"/><Relationship Id="rId4" Type="http://schemas.openxmlformats.org/officeDocument/2006/relationships/styles" Target="styles.xml"/><Relationship Id="rId9" Type="http://schemas.openxmlformats.org/officeDocument/2006/relationships/hyperlink" Target="http://www.moa.gov.cn/zwllm/ghjh/201705/P020170518362119373187.ceb"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F890A-7792-4017-AF33-9E9AB712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801</Words>
  <Characters>4572</Characters>
  <Application>Microsoft Office Word</Application>
  <DocSecurity>0</DocSecurity>
  <Lines>38</Lines>
  <Paragraphs>10</Paragraphs>
  <ScaleCrop>false</ScaleCrop>
  <Company>Microsoft</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144</cp:revision>
  <cp:lastPrinted>2021-03-16T02:33:00Z</cp:lastPrinted>
  <dcterms:created xsi:type="dcterms:W3CDTF">2020-06-22T01:34:00Z</dcterms:created>
  <dcterms:modified xsi:type="dcterms:W3CDTF">2021-03-16T02:33:00Z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